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700A1" w14:textId="5F296D99" w:rsidR="009D71B3" w:rsidRPr="009D71B3" w:rsidRDefault="0004112C" w:rsidP="009D71B3">
      <w:pPr>
        <w:spacing w:before="100" w:beforeAutospacing="1" w:after="100" w:afterAutospacing="1"/>
        <w:outlineLvl w:val="0"/>
        <w:rPr>
          <w:rFonts w:ascii="Times" w:eastAsia="Times New Roman" w:hAnsi="Times" w:cs="Times New Roman"/>
          <w:b/>
          <w:bCs/>
          <w:kern w:val="36"/>
          <w:sz w:val="48"/>
          <w:szCs w:val="48"/>
        </w:rPr>
      </w:pPr>
      <w:r>
        <w:rPr>
          <w:rFonts w:ascii="Times" w:hAnsi="Times" w:cs="Times New Roman"/>
          <w:noProof/>
          <w:sz w:val="20"/>
          <w:szCs w:val="20"/>
        </w:rPr>
        <w:drawing>
          <wp:anchor distT="0" distB="0" distL="114300" distR="114300" simplePos="0" relativeHeight="251659264" behindDoc="0" locked="0" layoutInCell="1" allowOverlap="1" wp14:anchorId="4A5B28B3" wp14:editId="263530E6">
            <wp:simplePos x="0" y="0"/>
            <wp:positionH relativeFrom="column">
              <wp:posOffset>5257800</wp:posOffset>
            </wp:positionH>
            <wp:positionV relativeFrom="paragraph">
              <wp:posOffset>-228600</wp:posOffset>
            </wp:positionV>
            <wp:extent cx="1257300" cy="1742861"/>
            <wp:effectExtent l="0" t="0" r="0" b="10160"/>
            <wp:wrapNone/>
            <wp:docPr id="1" name="Picture 1" descr="Macintosh HD:Users:mcdanir:Desktop:Screen Shot 2018-04-09 at 12.26.3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cdanir:Desktop:Screen Shot 2018-04-09 at 12.26.33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7428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D71B3" w:rsidRPr="009D71B3">
        <w:rPr>
          <w:rFonts w:ascii="Times" w:eastAsia="Times New Roman" w:hAnsi="Times" w:cs="Times New Roman"/>
          <w:b/>
          <w:bCs/>
          <w:kern w:val="36"/>
          <w:sz w:val="48"/>
          <w:szCs w:val="48"/>
        </w:rPr>
        <w:t>Bloom’s Taxonomy</w:t>
      </w:r>
      <w:r w:rsidR="009D71B3">
        <w:rPr>
          <w:rFonts w:ascii="Times" w:eastAsia="Times New Roman" w:hAnsi="Times" w:cs="Times New Roman"/>
          <w:b/>
          <w:bCs/>
          <w:kern w:val="36"/>
          <w:sz w:val="48"/>
          <w:szCs w:val="48"/>
        </w:rPr>
        <w:br/>
      </w:r>
      <w:r w:rsidR="009D71B3" w:rsidRPr="009D71B3">
        <w:rPr>
          <w:rFonts w:ascii="Times" w:eastAsia="Times New Roman" w:hAnsi="Times" w:cs="Times New Roman"/>
          <w:b/>
          <w:bCs/>
          <w:i/>
          <w:iCs/>
          <w:sz w:val="15"/>
          <w:szCs w:val="15"/>
        </w:rPr>
        <w:t>by Patricia Armstrong</w:t>
      </w:r>
    </w:p>
    <w:p w14:paraId="37A008F0" w14:textId="77777777" w:rsidR="009D71B3" w:rsidRDefault="009D71B3" w:rsidP="009D71B3">
      <w:pPr>
        <w:spacing w:before="100" w:beforeAutospacing="1" w:after="100" w:afterAutospacing="1"/>
        <w:rPr>
          <w:rFonts w:ascii="Times" w:hAnsi="Times" w:cs="Times New Roman"/>
          <w:sz w:val="20"/>
          <w:szCs w:val="20"/>
        </w:rPr>
      </w:pPr>
      <w:r>
        <w:rPr>
          <w:rFonts w:ascii="Times" w:hAnsi="Times" w:cs="Times New Roman"/>
          <w:noProof/>
          <w:color w:val="0000FF"/>
          <w:sz w:val="20"/>
          <w:szCs w:val="20"/>
        </w:rPr>
        <w:drawing>
          <wp:anchor distT="0" distB="0" distL="114300" distR="114300" simplePos="0" relativeHeight="251658240" behindDoc="0" locked="0" layoutInCell="1" allowOverlap="1" wp14:anchorId="61A1A12C" wp14:editId="10B108FA">
            <wp:simplePos x="0" y="0"/>
            <wp:positionH relativeFrom="column">
              <wp:posOffset>0</wp:posOffset>
            </wp:positionH>
            <wp:positionV relativeFrom="paragraph">
              <wp:posOffset>160020</wp:posOffset>
            </wp:positionV>
            <wp:extent cx="4710430" cy="2653030"/>
            <wp:effectExtent l="0" t="0" r="0" b="0"/>
            <wp:wrapNone/>
            <wp:docPr id="87" name="Picture 87" descr="loom's Tax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loom's Taxonomy">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0430" cy="26530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183C11F" w14:textId="77777777" w:rsidR="009D71B3" w:rsidRDefault="009D71B3" w:rsidP="009D71B3">
      <w:pPr>
        <w:spacing w:before="100" w:beforeAutospacing="1" w:after="100" w:afterAutospacing="1"/>
        <w:rPr>
          <w:rFonts w:ascii="Times" w:hAnsi="Times" w:cs="Times New Roman"/>
          <w:sz w:val="20"/>
          <w:szCs w:val="20"/>
        </w:rPr>
      </w:pPr>
    </w:p>
    <w:p w14:paraId="06948540" w14:textId="77777777" w:rsidR="009D71B3" w:rsidRDefault="009D71B3" w:rsidP="009D71B3">
      <w:pPr>
        <w:spacing w:before="100" w:beforeAutospacing="1" w:after="100" w:afterAutospacing="1"/>
        <w:rPr>
          <w:rFonts w:ascii="Times" w:hAnsi="Times" w:cs="Times New Roman"/>
          <w:sz w:val="20"/>
          <w:szCs w:val="20"/>
        </w:rPr>
      </w:pPr>
    </w:p>
    <w:p w14:paraId="0AC8AA91" w14:textId="77777777" w:rsidR="009D71B3" w:rsidRDefault="009D71B3" w:rsidP="009D71B3">
      <w:pPr>
        <w:spacing w:before="100" w:beforeAutospacing="1" w:after="100" w:afterAutospacing="1"/>
        <w:rPr>
          <w:rFonts w:ascii="Times" w:hAnsi="Times" w:cs="Times New Roman"/>
          <w:sz w:val="20"/>
          <w:szCs w:val="20"/>
        </w:rPr>
      </w:pPr>
    </w:p>
    <w:p w14:paraId="4F4426A3" w14:textId="77777777" w:rsidR="009D71B3" w:rsidRDefault="009D71B3" w:rsidP="009D71B3">
      <w:pPr>
        <w:spacing w:before="100" w:beforeAutospacing="1" w:after="100" w:afterAutospacing="1"/>
        <w:rPr>
          <w:rFonts w:ascii="Times" w:hAnsi="Times" w:cs="Times New Roman"/>
          <w:sz w:val="20"/>
          <w:szCs w:val="20"/>
        </w:rPr>
      </w:pPr>
    </w:p>
    <w:p w14:paraId="048B0A45" w14:textId="77777777" w:rsidR="009D71B3" w:rsidRDefault="009D71B3" w:rsidP="009D71B3">
      <w:pPr>
        <w:spacing w:before="100" w:beforeAutospacing="1" w:after="100" w:afterAutospacing="1"/>
        <w:rPr>
          <w:rFonts w:ascii="Times" w:hAnsi="Times" w:cs="Times New Roman"/>
          <w:sz w:val="20"/>
          <w:szCs w:val="20"/>
        </w:rPr>
      </w:pPr>
    </w:p>
    <w:p w14:paraId="65159E61" w14:textId="77777777" w:rsidR="009D71B3" w:rsidRDefault="009D71B3" w:rsidP="009D71B3">
      <w:pPr>
        <w:spacing w:before="100" w:beforeAutospacing="1" w:after="100" w:afterAutospacing="1"/>
        <w:rPr>
          <w:rFonts w:ascii="Times" w:hAnsi="Times" w:cs="Times New Roman"/>
          <w:sz w:val="20"/>
          <w:szCs w:val="20"/>
        </w:rPr>
      </w:pPr>
    </w:p>
    <w:p w14:paraId="0969DA9D" w14:textId="77777777" w:rsidR="009D71B3" w:rsidRPr="009D71B3" w:rsidRDefault="009D71B3" w:rsidP="009D71B3">
      <w:pPr>
        <w:spacing w:before="100" w:beforeAutospacing="1" w:after="100" w:afterAutospacing="1"/>
        <w:rPr>
          <w:rFonts w:ascii="Times" w:hAnsi="Times" w:cs="Times New Roman"/>
          <w:sz w:val="20"/>
          <w:szCs w:val="20"/>
        </w:rPr>
      </w:pPr>
    </w:p>
    <w:p w14:paraId="3CF477AD" w14:textId="77777777" w:rsidR="009D71B3" w:rsidRPr="009D71B3" w:rsidRDefault="009D71B3" w:rsidP="009D71B3">
      <w:pPr>
        <w:spacing w:before="100" w:beforeAutospacing="1" w:after="100" w:afterAutospacing="1"/>
        <w:rPr>
          <w:rFonts w:ascii="Times" w:hAnsi="Times" w:cs="Times New Roman"/>
          <w:sz w:val="20"/>
          <w:szCs w:val="20"/>
        </w:rPr>
      </w:pPr>
    </w:p>
    <w:p w14:paraId="099FFBFF" w14:textId="77777777" w:rsidR="009D71B3" w:rsidRPr="009D71B3" w:rsidRDefault="009D71B3" w:rsidP="009D71B3">
      <w:pPr>
        <w:spacing w:before="100" w:beforeAutospacing="1" w:after="100" w:afterAutospacing="1"/>
        <w:rPr>
          <w:rFonts w:ascii="Times" w:hAnsi="Times" w:cs="Times New Roman"/>
          <w:sz w:val="20"/>
          <w:szCs w:val="20"/>
        </w:rPr>
      </w:pPr>
      <w:r w:rsidRPr="009D71B3">
        <w:rPr>
          <w:rFonts w:ascii="Times" w:hAnsi="Times" w:cs="Times New Roman"/>
          <w:sz w:val="20"/>
          <w:szCs w:val="20"/>
        </w:rPr>
        <w:t xml:space="preserve">The above graphic is released under a Creative Commons Attribution license. You’re free to share, reproduce, or otherwise use it, as long as you attribute it to the Vanderbilt University Center for Teaching. For a higher resolution version, visit </w:t>
      </w:r>
      <w:hyperlink r:id="rId8" w:history="1">
        <w:r w:rsidRPr="009D71B3">
          <w:rPr>
            <w:rFonts w:ascii="Times" w:hAnsi="Times" w:cs="Times New Roman"/>
            <w:color w:val="0000FF"/>
            <w:sz w:val="20"/>
            <w:szCs w:val="20"/>
            <w:u w:val="single"/>
          </w:rPr>
          <w:t>our Flickr account</w:t>
        </w:r>
      </w:hyperlink>
      <w:r w:rsidRPr="009D71B3">
        <w:rPr>
          <w:rFonts w:ascii="Times" w:hAnsi="Times" w:cs="Times New Roman"/>
          <w:sz w:val="20"/>
          <w:szCs w:val="20"/>
        </w:rPr>
        <w:t xml:space="preserve"> and look for the “Download this photo” icon.</w:t>
      </w:r>
    </w:p>
    <w:p w14:paraId="59931870" w14:textId="77777777" w:rsidR="009D71B3" w:rsidRPr="009D71B3" w:rsidRDefault="009D71B3" w:rsidP="009D71B3">
      <w:pPr>
        <w:spacing w:before="100" w:beforeAutospacing="1" w:after="100" w:afterAutospacing="1"/>
        <w:outlineLvl w:val="1"/>
        <w:rPr>
          <w:rFonts w:ascii="Times" w:eastAsia="Times New Roman" w:hAnsi="Times" w:cs="Times New Roman"/>
          <w:b/>
          <w:bCs/>
          <w:sz w:val="36"/>
          <w:szCs w:val="36"/>
        </w:rPr>
      </w:pPr>
      <w:bookmarkStart w:id="0" w:name="bg"/>
      <w:bookmarkEnd w:id="0"/>
      <w:r w:rsidRPr="009D71B3">
        <w:rPr>
          <w:rFonts w:ascii="Times" w:eastAsia="Times New Roman" w:hAnsi="Times" w:cs="Times New Roman"/>
          <w:b/>
          <w:bCs/>
          <w:sz w:val="36"/>
          <w:szCs w:val="36"/>
        </w:rPr>
        <w:t>Background Information</w:t>
      </w:r>
    </w:p>
    <w:p w14:paraId="7B1D605E" w14:textId="77777777" w:rsidR="009D71B3" w:rsidRPr="009D71B3" w:rsidRDefault="009D71B3" w:rsidP="009D71B3">
      <w:pPr>
        <w:spacing w:before="100" w:beforeAutospacing="1" w:after="100" w:afterAutospacing="1"/>
        <w:rPr>
          <w:rFonts w:ascii="Times" w:hAnsi="Times" w:cs="Times New Roman"/>
          <w:sz w:val="20"/>
          <w:szCs w:val="20"/>
        </w:rPr>
      </w:pPr>
      <w:r w:rsidRPr="009D71B3">
        <w:rPr>
          <w:rFonts w:ascii="Times" w:hAnsi="Times" w:cs="Times New Roman"/>
          <w:sz w:val="20"/>
          <w:szCs w:val="20"/>
        </w:rPr>
        <w:t xml:space="preserve">In 1956, Benjamin Bloom with collaborators Max Englehart, Edward </w:t>
      </w:r>
      <w:proofErr w:type="spellStart"/>
      <w:r w:rsidRPr="009D71B3">
        <w:rPr>
          <w:rFonts w:ascii="Times" w:hAnsi="Times" w:cs="Times New Roman"/>
          <w:sz w:val="20"/>
          <w:szCs w:val="20"/>
        </w:rPr>
        <w:t>Furst</w:t>
      </w:r>
      <w:proofErr w:type="spellEnd"/>
      <w:r w:rsidRPr="009D71B3">
        <w:rPr>
          <w:rFonts w:ascii="Times" w:hAnsi="Times" w:cs="Times New Roman"/>
          <w:sz w:val="20"/>
          <w:szCs w:val="20"/>
        </w:rPr>
        <w:t xml:space="preserve">, Walter Hill, and David Krathwohl published a framework for categorizing educational goals: </w:t>
      </w:r>
      <w:r w:rsidRPr="009D71B3">
        <w:rPr>
          <w:rFonts w:ascii="Times" w:hAnsi="Times" w:cs="Times New Roman"/>
          <w:i/>
          <w:iCs/>
          <w:sz w:val="20"/>
          <w:szCs w:val="20"/>
        </w:rPr>
        <w:t>Taxonomy of Educational Objectives</w:t>
      </w:r>
      <w:r w:rsidRPr="009D71B3">
        <w:rPr>
          <w:rFonts w:ascii="Times" w:hAnsi="Times" w:cs="Times New Roman"/>
          <w:sz w:val="20"/>
          <w:szCs w:val="20"/>
        </w:rPr>
        <w:t xml:space="preserve">. Familiarly known as </w:t>
      </w:r>
      <w:hyperlink r:id="rId9" w:tgtFrame="_blank" w:history="1">
        <w:r w:rsidRPr="009D71B3">
          <w:rPr>
            <w:rFonts w:ascii="Times" w:hAnsi="Times" w:cs="Times New Roman"/>
            <w:color w:val="0000FF"/>
            <w:sz w:val="20"/>
            <w:szCs w:val="20"/>
            <w:u w:val="single"/>
          </w:rPr>
          <w:t>Bloom’s Taxonomy</w:t>
        </w:r>
      </w:hyperlink>
      <w:r w:rsidRPr="009D71B3">
        <w:rPr>
          <w:rFonts w:ascii="Times" w:hAnsi="Times" w:cs="Times New Roman"/>
          <w:sz w:val="20"/>
          <w:szCs w:val="20"/>
        </w:rPr>
        <w:t>, this framework has been applied by generations of K-12 teachers and college instructors in their teaching.</w:t>
      </w:r>
    </w:p>
    <w:p w14:paraId="3106F4A1" w14:textId="77777777" w:rsidR="009D71B3" w:rsidRPr="009D71B3" w:rsidRDefault="009D71B3" w:rsidP="009D71B3">
      <w:pPr>
        <w:spacing w:before="100" w:beforeAutospacing="1" w:after="100" w:afterAutospacing="1"/>
        <w:rPr>
          <w:rFonts w:ascii="Times" w:hAnsi="Times" w:cs="Times New Roman"/>
          <w:sz w:val="20"/>
          <w:szCs w:val="20"/>
        </w:rPr>
      </w:pPr>
      <w:r w:rsidRPr="009D71B3">
        <w:rPr>
          <w:rFonts w:ascii="Times" w:hAnsi="Times" w:cs="Times New Roman"/>
          <w:sz w:val="20"/>
          <w:szCs w:val="20"/>
        </w:rPr>
        <w:t>The framework elaborated by Bloom and his collaborators consisted of six major categories: Knowledge, Comprehension, Application, Analysis, Synthesis, and Evaluation. The categories after Knowledge were presented as “skills and abilities,” with the understanding that knowledge was the necessary precondition for putting these skills and abilities into practice.</w:t>
      </w:r>
    </w:p>
    <w:p w14:paraId="72E38F57" w14:textId="77777777" w:rsidR="009D71B3" w:rsidRPr="009D71B3" w:rsidRDefault="009D71B3" w:rsidP="009D71B3">
      <w:pPr>
        <w:spacing w:before="100" w:beforeAutospacing="1" w:after="100" w:afterAutospacing="1"/>
        <w:rPr>
          <w:rFonts w:ascii="Times" w:hAnsi="Times" w:cs="Times New Roman"/>
          <w:sz w:val="20"/>
          <w:szCs w:val="20"/>
        </w:rPr>
      </w:pPr>
      <w:r w:rsidRPr="009D71B3">
        <w:rPr>
          <w:rFonts w:ascii="Times" w:hAnsi="Times" w:cs="Times New Roman"/>
          <w:sz w:val="20"/>
          <w:szCs w:val="20"/>
        </w:rPr>
        <w:t>While each category contained subcategories, all lying along a continuum from simple to complex and concrete to abstract, the taxonomy is popularly remembered according to the six main categories.</w:t>
      </w:r>
    </w:p>
    <w:p w14:paraId="1EFEE80E" w14:textId="77777777" w:rsidR="009D71B3" w:rsidRPr="009D71B3" w:rsidRDefault="009D71B3" w:rsidP="009D71B3">
      <w:pPr>
        <w:spacing w:before="100" w:beforeAutospacing="1" w:after="100" w:afterAutospacing="1"/>
        <w:outlineLvl w:val="1"/>
        <w:rPr>
          <w:rFonts w:ascii="Times" w:eastAsia="Times New Roman" w:hAnsi="Times" w:cs="Times New Roman"/>
          <w:b/>
          <w:bCs/>
          <w:sz w:val="36"/>
          <w:szCs w:val="36"/>
        </w:rPr>
      </w:pPr>
      <w:bookmarkStart w:id="1" w:name="1956"/>
      <w:bookmarkEnd w:id="1"/>
      <w:r w:rsidRPr="009D71B3">
        <w:rPr>
          <w:rFonts w:ascii="Times" w:eastAsia="Times New Roman" w:hAnsi="Times" w:cs="Times New Roman"/>
          <w:b/>
          <w:bCs/>
          <w:sz w:val="36"/>
          <w:szCs w:val="36"/>
        </w:rPr>
        <w:t>The Original Taxonomy (1956)</w:t>
      </w:r>
    </w:p>
    <w:p w14:paraId="341926D8" w14:textId="77777777" w:rsidR="009D71B3" w:rsidRPr="009D71B3" w:rsidRDefault="009D71B3" w:rsidP="009D71B3">
      <w:pPr>
        <w:spacing w:before="100" w:beforeAutospacing="1" w:after="100" w:afterAutospacing="1"/>
        <w:rPr>
          <w:rFonts w:ascii="Times" w:hAnsi="Times" w:cs="Times New Roman"/>
          <w:sz w:val="20"/>
          <w:szCs w:val="20"/>
        </w:rPr>
      </w:pPr>
      <w:r w:rsidRPr="009D71B3">
        <w:rPr>
          <w:rFonts w:ascii="Times" w:hAnsi="Times" w:cs="Times New Roman"/>
          <w:sz w:val="20"/>
          <w:szCs w:val="20"/>
        </w:rPr>
        <w:t>Here are the authors’ brief explanations of these main categories in from the appendix of</w:t>
      </w:r>
      <w:r w:rsidRPr="009D71B3">
        <w:rPr>
          <w:rFonts w:ascii="Times" w:hAnsi="Times" w:cs="Times New Roman"/>
          <w:i/>
          <w:iCs/>
          <w:sz w:val="20"/>
          <w:szCs w:val="20"/>
        </w:rPr>
        <w:t xml:space="preserve"> Taxonomy of Educational Objectives </w:t>
      </w:r>
      <w:r w:rsidRPr="009D71B3">
        <w:rPr>
          <w:rFonts w:ascii="Times" w:hAnsi="Times" w:cs="Times New Roman"/>
          <w:sz w:val="20"/>
          <w:szCs w:val="20"/>
        </w:rPr>
        <w:t>(</w:t>
      </w:r>
      <w:r w:rsidRPr="009D71B3">
        <w:rPr>
          <w:rFonts w:ascii="Times" w:hAnsi="Times" w:cs="Times New Roman"/>
          <w:i/>
          <w:iCs/>
          <w:sz w:val="20"/>
          <w:szCs w:val="20"/>
        </w:rPr>
        <w:t>Handbook One</w:t>
      </w:r>
      <w:r w:rsidRPr="009D71B3">
        <w:rPr>
          <w:rFonts w:ascii="Times" w:hAnsi="Times" w:cs="Times New Roman"/>
          <w:sz w:val="20"/>
          <w:szCs w:val="20"/>
        </w:rPr>
        <w:t>, pp. 201-207):</w:t>
      </w:r>
    </w:p>
    <w:p w14:paraId="43F40A6E" w14:textId="77777777" w:rsidR="009D71B3" w:rsidRPr="009D71B3" w:rsidRDefault="009D71B3" w:rsidP="009D71B3">
      <w:pPr>
        <w:numPr>
          <w:ilvl w:val="0"/>
          <w:numId w:val="1"/>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b/>
          <w:bCs/>
          <w:sz w:val="20"/>
          <w:szCs w:val="20"/>
        </w:rPr>
        <w:t>Knowledge</w:t>
      </w:r>
      <w:r w:rsidRPr="009D71B3">
        <w:rPr>
          <w:rFonts w:ascii="Times" w:eastAsia="Times New Roman" w:hAnsi="Times" w:cs="Times New Roman"/>
          <w:sz w:val="20"/>
          <w:szCs w:val="20"/>
        </w:rPr>
        <w:t xml:space="preserve"> “involves the recall of specifics and universals, the recall of methods and processes, or the recall of a pattern, structure, or setting.”</w:t>
      </w:r>
    </w:p>
    <w:p w14:paraId="0440EF43" w14:textId="77777777" w:rsidR="009D71B3" w:rsidRPr="009D71B3" w:rsidRDefault="009D71B3" w:rsidP="009D71B3">
      <w:pPr>
        <w:numPr>
          <w:ilvl w:val="0"/>
          <w:numId w:val="2"/>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b/>
          <w:bCs/>
          <w:sz w:val="20"/>
          <w:szCs w:val="20"/>
        </w:rPr>
        <w:t>Comprehension</w:t>
      </w:r>
      <w:r w:rsidRPr="009D71B3">
        <w:rPr>
          <w:rFonts w:ascii="Times" w:eastAsia="Times New Roman" w:hAnsi="Times" w:cs="Times New Roman"/>
          <w:sz w:val="20"/>
          <w:szCs w:val="20"/>
        </w:rPr>
        <w:t xml:space="preserve"> “refers to a type of understanding or apprehension such that the individual knows what is being communicated and can make use of the material or idea being communicated without necessarily relating it to other material or seeing its fullest implications.”</w:t>
      </w:r>
    </w:p>
    <w:p w14:paraId="4A2793E3" w14:textId="77777777" w:rsidR="009D71B3" w:rsidRPr="009D71B3" w:rsidRDefault="009D71B3" w:rsidP="009D71B3">
      <w:pPr>
        <w:numPr>
          <w:ilvl w:val="0"/>
          <w:numId w:val="3"/>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b/>
          <w:bCs/>
          <w:sz w:val="20"/>
          <w:szCs w:val="20"/>
        </w:rPr>
        <w:lastRenderedPageBreak/>
        <w:t>Application</w:t>
      </w:r>
      <w:r w:rsidRPr="009D71B3">
        <w:rPr>
          <w:rFonts w:ascii="Times" w:eastAsia="Times New Roman" w:hAnsi="Times" w:cs="Times New Roman"/>
          <w:sz w:val="20"/>
          <w:szCs w:val="20"/>
        </w:rPr>
        <w:t xml:space="preserve"> refers to the “use of abstractions in particular and concrete situations.”</w:t>
      </w:r>
    </w:p>
    <w:p w14:paraId="6B614E4B" w14:textId="77777777" w:rsidR="009D71B3" w:rsidRPr="009D71B3" w:rsidRDefault="009D71B3" w:rsidP="009D71B3">
      <w:pPr>
        <w:numPr>
          <w:ilvl w:val="0"/>
          <w:numId w:val="4"/>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b/>
          <w:bCs/>
          <w:sz w:val="20"/>
          <w:szCs w:val="20"/>
        </w:rPr>
        <w:t>Analysis</w:t>
      </w:r>
      <w:r w:rsidRPr="009D71B3">
        <w:rPr>
          <w:rFonts w:ascii="Times" w:eastAsia="Times New Roman" w:hAnsi="Times" w:cs="Times New Roman"/>
          <w:sz w:val="20"/>
          <w:szCs w:val="20"/>
        </w:rPr>
        <w:t xml:space="preserve"> represents the “breakdown of a communication into its constituent elements or parts such that the relative hierarchy of ideas is made clear and/or the relations between ideas expressed are made explicit.”</w:t>
      </w:r>
    </w:p>
    <w:p w14:paraId="0F05837E" w14:textId="77777777" w:rsidR="009D71B3" w:rsidRPr="009D71B3" w:rsidRDefault="009D71B3" w:rsidP="009D71B3">
      <w:pPr>
        <w:numPr>
          <w:ilvl w:val="0"/>
          <w:numId w:val="5"/>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b/>
          <w:bCs/>
          <w:sz w:val="20"/>
          <w:szCs w:val="20"/>
        </w:rPr>
        <w:t>Synthesis</w:t>
      </w:r>
      <w:r w:rsidRPr="009D71B3">
        <w:rPr>
          <w:rFonts w:ascii="Times" w:eastAsia="Times New Roman" w:hAnsi="Times" w:cs="Times New Roman"/>
          <w:sz w:val="20"/>
          <w:szCs w:val="20"/>
        </w:rPr>
        <w:t xml:space="preserve"> involves the “putting together of elements and parts so as to form a whole.”</w:t>
      </w:r>
    </w:p>
    <w:p w14:paraId="61923025" w14:textId="77777777" w:rsidR="009D71B3" w:rsidRPr="009D71B3" w:rsidRDefault="009D71B3" w:rsidP="009D71B3">
      <w:pPr>
        <w:numPr>
          <w:ilvl w:val="0"/>
          <w:numId w:val="6"/>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b/>
          <w:bCs/>
          <w:sz w:val="20"/>
          <w:szCs w:val="20"/>
        </w:rPr>
        <w:t>Evaluation</w:t>
      </w:r>
      <w:r w:rsidRPr="009D71B3">
        <w:rPr>
          <w:rFonts w:ascii="Times" w:eastAsia="Times New Roman" w:hAnsi="Times" w:cs="Times New Roman"/>
          <w:sz w:val="20"/>
          <w:szCs w:val="20"/>
        </w:rPr>
        <w:t xml:space="preserve"> engenders “judgments about the value of material and methods for given purposes.”</w:t>
      </w:r>
    </w:p>
    <w:p w14:paraId="404DDE32" w14:textId="77777777" w:rsidR="009D71B3" w:rsidRPr="009D71B3" w:rsidRDefault="009D71B3" w:rsidP="009D71B3">
      <w:pPr>
        <w:spacing w:before="100" w:beforeAutospacing="1" w:after="100" w:afterAutospacing="1"/>
        <w:rPr>
          <w:rFonts w:ascii="Times" w:hAnsi="Times" w:cs="Times New Roman"/>
          <w:sz w:val="20"/>
          <w:szCs w:val="20"/>
        </w:rPr>
      </w:pPr>
      <w:r w:rsidRPr="009D71B3">
        <w:rPr>
          <w:rFonts w:ascii="Times" w:hAnsi="Times" w:cs="Times New Roman"/>
          <w:sz w:val="20"/>
          <w:szCs w:val="20"/>
        </w:rPr>
        <w:t xml:space="preserve">The 1984 edition of </w:t>
      </w:r>
      <w:r w:rsidRPr="009D71B3">
        <w:rPr>
          <w:rFonts w:ascii="Times" w:hAnsi="Times" w:cs="Times New Roman"/>
          <w:i/>
          <w:iCs/>
          <w:sz w:val="20"/>
          <w:szCs w:val="20"/>
        </w:rPr>
        <w:t xml:space="preserve">Handbook One </w:t>
      </w:r>
      <w:r w:rsidRPr="009D71B3">
        <w:rPr>
          <w:rFonts w:ascii="Times" w:hAnsi="Times" w:cs="Times New Roman"/>
          <w:sz w:val="20"/>
          <w:szCs w:val="20"/>
        </w:rPr>
        <w:t xml:space="preserve">is available in the CFT Library in Calhoun 116. See </w:t>
      </w:r>
      <w:proofErr w:type="spellStart"/>
      <w:r w:rsidRPr="009D71B3">
        <w:rPr>
          <w:rFonts w:ascii="Times" w:hAnsi="Times" w:cs="Times New Roman"/>
          <w:sz w:val="20"/>
          <w:szCs w:val="20"/>
        </w:rPr>
        <w:t>its</w:t>
      </w:r>
      <w:hyperlink r:id="rId10" w:tgtFrame="_blank" w:history="1">
        <w:r w:rsidRPr="009D71B3">
          <w:rPr>
            <w:rFonts w:ascii="Times" w:hAnsi="Times" w:cs="Times New Roman"/>
            <w:color w:val="0000FF"/>
            <w:sz w:val="20"/>
            <w:szCs w:val="20"/>
            <w:u w:val="single"/>
          </w:rPr>
          <w:t>ACORN</w:t>
        </w:r>
        <w:proofErr w:type="spellEnd"/>
        <w:r w:rsidRPr="009D71B3">
          <w:rPr>
            <w:rFonts w:ascii="Times" w:hAnsi="Times" w:cs="Times New Roman"/>
            <w:color w:val="0000FF"/>
            <w:sz w:val="20"/>
            <w:szCs w:val="20"/>
            <w:u w:val="single"/>
          </w:rPr>
          <w:t xml:space="preserve"> record</w:t>
        </w:r>
      </w:hyperlink>
      <w:r w:rsidRPr="009D71B3">
        <w:rPr>
          <w:rFonts w:ascii="Times" w:hAnsi="Times" w:cs="Times New Roman"/>
          <w:sz w:val="20"/>
          <w:szCs w:val="20"/>
        </w:rPr>
        <w:t xml:space="preserve"> for call number and availability.</w:t>
      </w:r>
    </w:p>
    <w:p w14:paraId="06520D71" w14:textId="77777777" w:rsidR="009D71B3" w:rsidRPr="009D71B3" w:rsidRDefault="009D71B3" w:rsidP="009D71B3">
      <w:pPr>
        <w:spacing w:before="100" w:beforeAutospacing="1" w:after="100" w:afterAutospacing="1"/>
        <w:rPr>
          <w:rFonts w:ascii="Times" w:hAnsi="Times" w:cs="Times New Roman"/>
          <w:sz w:val="20"/>
          <w:szCs w:val="20"/>
        </w:rPr>
      </w:pPr>
      <w:r w:rsidRPr="009D71B3">
        <w:rPr>
          <w:rFonts w:ascii="Times" w:hAnsi="Times" w:cs="Times New Roman"/>
          <w:sz w:val="20"/>
          <w:szCs w:val="20"/>
        </w:rPr>
        <w:t xml:space="preserve">While many explanations of Bloom’s Taxonomy and examples of its applications are readily available on the Internet, </w:t>
      </w:r>
      <w:hyperlink r:id="rId11" w:tgtFrame="_blank" w:history="1">
        <w:r w:rsidRPr="009D71B3">
          <w:rPr>
            <w:rFonts w:ascii="Times" w:hAnsi="Times" w:cs="Times New Roman"/>
            <w:color w:val="0000FF"/>
            <w:sz w:val="20"/>
            <w:szCs w:val="20"/>
            <w:u w:val="single"/>
          </w:rPr>
          <w:t>this guide to Bloom’s Taxonomy</w:t>
        </w:r>
      </w:hyperlink>
      <w:r w:rsidRPr="009D71B3">
        <w:rPr>
          <w:rFonts w:ascii="Times" w:hAnsi="Times" w:cs="Times New Roman"/>
          <w:sz w:val="20"/>
          <w:szCs w:val="20"/>
        </w:rPr>
        <w:t xml:space="preserve"> is particularly useful because it contains links to dozens of other web sites.</w:t>
      </w:r>
    </w:p>
    <w:p w14:paraId="14DA6366" w14:textId="77777777" w:rsidR="009D71B3" w:rsidRPr="009D71B3" w:rsidRDefault="009D71B3" w:rsidP="009D71B3">
      <w:pPr>
        <w:spacing w:before="100" w:beforeAutospacing="1" w:after="100" w:afterAutospacing="1"/>
        <w:rPr>
          <w:rFonts w:ascii="Times" w:hAnsi="Times" w:cs="Times New Roman"/>
          <w:sz w:val="20"/>
          <w:szCs w:val="20"/>
        </w:rPr>
      </w:pPr>
      <w:r w:rsidRPr="009D71B3">
        <w:rPr>
          <w:rFonts w:ascii="Times" w:hAnsi="Times" w:cs="Times New Roman"/>
          <w:sz w:val="20"/>
          <w:szCs w:val="20"/>
        </w:rPr>
        <w:t xml:space="preserve">Barbara Gross Davis, in the “Asking Questions” chapter of </w:t>
      </w:r>
      <w:hyperlink r:id="rId12" w:tgtFrame="_blank" w:history="1">
        <w:r w:rsidRPr="009D71B3">
          <w:rPr>
            <w:rFonts w:ascii="Times" w:hAnsi="Times" w:cs="Times New Roman"/>
            <w:i/>
            <w:iCs/>
            <w:color w:val="0000FF"/>
            <w:sz w:val="20"/>
            <w:szCs w:val="20"/>
            <w:u w:val="single"/>
          </w:rPr>
          <w:t>Tools for Teaching</w:t>
        </w:r>
      </w:hyperlink>
      <w:r w:rsidRPr="009D71B3">
        <w:rPr>
          <w:rFonts w:ascii="Times" w:hAnsi="Times" w:cs="Times New Roman"/>
          <w:sz w:val="20"/>
          <w:szCs w:val="20"/>
        </w:rPr>
        <w:t xml:space="preserve">, also provides examples of questions corresponding to the six categories. This chapter is not available in the online version of the book, but </w:t>
      </w:r>
      <w:r w:rsidRPr="009D71B3">
        <w:rPr>
          <w:rFonts w:ascii="Times" w:hAnsi="Times" w:cs="Times New Roman"/>
          <w:i/>
          <w:iCs/>
          <w:sz w:val="20"/>
          <w:szCs w:val="20"/>
        </w:rPr>
        <w:t>Tools for Teaching</w:t>
      </w:r>
      <w:r w:rsidRPr="009D71B3">
        <w:rPr>
          <w:rFonts w:ascii="Times" w:hAnsi="Times" w:cs="Times New Roman"/>
          <w:sz w:val="20"/>
          <w:szCs w:val="20"/>
        </w:rPr>
        <w:t xml:space="preserve"> is available in the CFT Library. See </w:t>
      </w:r>
      <w:proofErr w:type="spellStart"/>
      <w:r w:rsidRPr="009D71B3">
        <w:rPr>
          <w:rFonts w:ascii="Times" w:hAnsi="Times" w:cs="Times New Roman"/>
          <w:sz w:val="20"/>
          <w:szCs w:val="20"/>
        </w:rPr>
        <w:t>its</w:t>
      </w:r>
      <w:hyperlink r:id="rId13" w:tgtFrame="_blank" w:history="1">
        <w:r w:rsidRPr="009D71B3">
          <w:rPr>
            <w:rFonts w:ascii="Times" w:hAnsi="Times" w:cs="Times New Roman"/>
            <w:color w:val="0000FF"/>
            <w:sz w:val="20"/>
            <w:szCs w:val="20"/>
            <w:u w:val="single"/>
          </w:rPr>
          <w:t>ACORN</w:t>
        </w:r>
        <w:proofErr w:type="spellEnd"/>
        <w:r w:rsidRPr="009D71B3">
          <w:rPr>
            <w:rFonts w:ascii="Times" w:hAnsi="Times" w:cs="Times New Roman"/>
            <w:color w:val="0000FF"/>
            <w:sz w:val="20"/>
            <w:szCs w:val="20"/>
            <w:u w:val="single"/>
          </w:rPr>
          <w:t xml:space="preserve"> record</w:t>
        </w:r>
      </w:hyperlink>
      <w:r w:rsidRPr="009D71B3">
        <w:rPr>
          <w:rFonts w:ascii="Times" w:hAnsi="Times" w:cs="Times New Roman"/>
          <w:sz w:val="20"/>
          <w:szCs w:val="20"/>
        </w:rPr>
        <w:t xml:space="preserve"> for call number and availability.</w:t>
      </w:r>
    </w:p>
    <w:p w14:paraId="1923EE23" w14:textId="77777777" w:rsidR="009D71B3" w:rsidRPr="009D71B3" w:rsidRDefault="009D71B3" w:rsidP="009D71B3">
      <w:pPr>
        <w:spacing w:before="100" w:beforeAutospacing="1" w:after="100" w:afterAutospacing="1"/>
        <w:outlineLvl w:val="1"/>
        <w:rPr>
          <w:rFonts w:ascii="Times" w:eastAsia="Times New Roman" w:hAnsi="Times" w:cs="Times New Roman"/>
          <w:b/>
          <w:bCs/>
          <w:sz w:val="36"/>
          <w:szCs w:val="36"/>
        </w:rPr>
      </w:pPr>
      <w:bookmarkStart w:id="2" w:name="2001"/>
      <w:bookmarkEnd w:id="2"/>
      <w:r w:rsidRPr="009D71B3">
        <w:rPr>
          <w:rFonts w:ascii="Times" w:eastAsia="Times New Roman" w:hAnsi="Times" w:cs="Times New Roman"/>
          <w:b/>
          <w:bCs/>
          <w:sz w:val="36"/>
          <w:szCs w:val="36"/>
        </w:rPr>
        <w:t>The Revised Taxonomy (2001)</w:t>
      </w:r>
    </w:p>
    <w:p w14:paraId="12738365" w14:textId="77777777" w:rsidR="009D71B3" w:rsidRPr="009D71B3" w:rsidRDefault="009D71B3" w:rsidP="009D71B3">
      <w:pPr>
        <w:spacing w:before="100" w:beforeAutospacing="1" w:after="100" w:afterAutospacing="1"/>
        <w:rPr>
          <w:rFonts w:ascii="Times" w:hAnsi="Times" w:cs="Times New Roman"/>
          <w:sz w:val="20"/>
          <w:szCs w:val="20"/>
        </w:rPr>
      </w:pPr>
      <w:r w:rsidRPr="009D71B3">
        <w:rPr>
          <w:rFonts w:ascii="Times" w:hAnsi="Times" w:cs="Times New Roman"/>
          <w:sz w:val="20"/>
          <w:szCs w:val="20"/>
        </w:rPr>
        <w:t xml:space="preserve">A group of cognitive psychologists, curriculum theorists and instructional researchers, and testing and assessment specialists published in 2001 a revision of Bloom’s Taxonomy with the title </w:t>
      </w:r>
      <w:hyperlink r:id="rId14" w:tgtFrame="_blank" w:history="1">
        <w:r w:rsidRPr="009D71B3">
          <w:rPr>
            <w:rFonts w:ascii="Times" w:hAnsi="Times" w:cs="Times New Roman"/>
            <w:i/>
            <w:iCs/>
            <w:color w:val="0000FF"/>
            <w:sz w:val="20"/>
            <w:szCs w:val="20"/>
            <w:u w:val="single"/>
          </w:rPr>
          <w:t>A Taxonomy for Teaching, Learning, and Assessment</w:t>
        </w:r>
      </w:hyperlink>
      <w:r w:rsidRPr="009D71B3">
        <w:rPr>
          <w:rFonts w:ascii="Times" w:hAnsi="Times" w:cs="Times New Roman"/>
          <w:sz w:val="20"/>
          <w:szCs w:val="20"/>
        </w:rPr>
        <w:t>. This title draws attention away from the somewhat static notion of “educational objectives” (in Bloom’s original title) and points to a more dynamic conception of classification.</w:t>
      </w:r>
    </w:p>
    <w:p w14:paraId="74846286" w14:textId="77777777" w:rsidR="009D71B3" w:rsidRPr="009D71B3" w:rsidRDefault="009D71B3" w:rsidP="009D71B3">
      <w:pPr>
        <w:spacing w:before="100" w:beforeAutospacing="1" w:after="100" w:afterAutospacing="1"/>
        <w:rPr>
          <w:rFonts w:ascii="Times" w:hAnsi="Times" w:cs="Times New Roman"/>
          <w:sz w:val="20"/>
          <w:szCs w:val="20"/>
        </w:rPr>
      </w:pPr>
      <w:r w:rsidRPr="009D71B3">
        <w:rPr>
          <w:rFonts w:ascii="Times" w:hAnsi="Times" w:cs="Times New Roman"/>
          <w:sz w:val="20"/>
          <w:szCs w:val="20"/>
        </w:rPr>
        <w:t>The authors of the revised taxonomy underscore this dynamism, using verbs and gerunds to label their categories and subcategories (rather than the nouns of the original taxonomy). These “action words” describe the cognitive processes by which thinkers encounter and work with knowledge:</w:t>
      </w:r>
    </w:p>
    <w:p w14:paraId="15C4AEA9" w14:textId="77777777" w:rsidR="009D71B3" w:rsidRPr="009D71B3" w:rsidRDefault="009D71B3" w:rsidP="009D71B3">
      <w:pPr>
        <w:numPr>
          <w:ilvl w:val="0"/>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 xml:space="preserve">Remember </w:t>
      </w:r>
    </w:p>
    <w:p w14:paraId="356D462A" w14:textId="77777777" w:rsidR="009D71B3" w:rsidRPr="009D71B3" w:rsidRDefault="009D71B3" w:rsidP="009D71B3">
      <w:pPr>
        <w:numPr>
          <w:ilvl w:val="1"/>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Recognizing</w:t>
      </w:r>
    </w:p>
    <w:p w14:paraId="3C2978A6" w14:textId="77777777" w:rsidR="009D71B3" w:rsidRPr="009D71B3" w:rsidRDefault="009D71B3" w:rsidP="009D71B3">
      <w:pPr>
        <w:numPr>
          <w:ilvl w:val="1"/>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Recalling</w:t>
      </w:r>
    </w:p>
    <w:p w14:paraId="1E064569" w14:textId="77777777" w:rsidR="009D71B3" w:rsidRPr="009D71B3" w:rsidRDefault="009D71B3" w:rsidP="009D71B3">
      <w:pPr>
        <w:numPr>
          <w:ilvl w:val="0"/>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 xml:space="preserve">Understand </w:t>
      </w:r>
    </w:p>
    <w:p w14:paraId="71A17D19" w14:textId="77777777" w:rsidR="009D71B3" w:rsidRPr="009D71B3" w:rsidRDefault="009D71B3" w:rsidP="009D71B3">
      <w:pPr>
        <w:numPr>
          <w:ilvl w:val="1"/>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Interpreting</w:t>
      </w:r>
    </w:p>
    <w:p w14:paraId="5B490B83" w14:textId="77777777" w:rsidR="009D71B3" w:rsidRPr="009D71B3" w:rsidRDefault="009D71B3" w:rsidP="009D71B3">
      <w:pPr>
        <w:numPr>
          <w:ilvl w:val="1"/>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Exemplifying</w:t>
      </w:r>
    </w:p>
    <w:p w14:paraId="1C4B7BEE" w14:textId="77777777" w:rsidR="009D71B3" w:rsidRPr="009D71B3" w:rsidRDefault="009D71B3" w:rsidP="009D71B3">
      <w:pPr>
        <w:numPr>
          <w:ilvl w:val="1"/>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Classifying</w:t>
      </w:r>
    </w:p>
    <w:p w14:paraId="16DE1D0D" w14:textId="77777777" w:rsidR="009D71B3" w:rsidRPr="009D71B3" w:rsidRDefault="009D71B3" w:rsidP="009D71B3">
      <w:pPr>
        <w:numPr>
          <w:ilvl w:val="1"/>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Summarizing</w:t>
      </w:r>
    </w:p>
    <w:p w14:paraId="620D290D" w14:textId="77777777" w:rsidR="009D71B3" w:rsidRPr="009D71B3" w:rsidRDefault="009D71B3" w:rsidP="009D71B3">
      <w:pPr>
        <w:numPr>
          <w:ilvl w:val="1"/>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Inferring</w:t>
      </w:r>
    </w:p>
    <w:p w14:paraId="2DECD3CE" w14:textId="77777777" w:rsidR="009D71B3" w:rsidRPr="009D71B3" w:rsidRDefault="009D71B3" w:rsidP="009D71B3">
      <w:pPr>
        <w:numPr>
          <w:ilvl w:val="1"/>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Comparing</w:t>
      </w:r>
    </w:p>
    <w:p w14:paraId="718657E1" w14:textId="77777777" w:rsidR="009D71B3" w:rsidRPr="009D71B3" w:rsidRDefault="009D71B3" w:rsidP="009D71B3">
      <w:pPr>
        <w:numPr>
          <w:ilvl w:val="1"/>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Explaining</w:t>
      </w:r>
    </w:p>
    <w:p w14:paraId="49E64EF8" w14:textId="77777777" w:rsidR="009D71B3" w:rsidRPr="009D71B3" w:rsidRDefault="009D71B3" w:rsidP="009D71B3">
      <w:pPr>
        <w:numPr>
          <w:ilvl w:val="0"/>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 xml:space="preserve">Apply </w:t>
      </w:r>
    </w:p>
    <w:p w14:paraId="2370603B" w14:textId="77777777" w:rsidR="009D71B3" w:rsidRPr="009D71B3" w:rsidRDefault="009D71B3" w:rsidP="009D71B3">
      <w:pPr>
        <w:numPr>
          <w:ilvl w:val="1"/>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Executing</w:t>
      </w:r>
    </w:p>
    <w:p w14:paraId="29286CA2" w14:textId="77777777" w:rsidR="009D71B3" w:rsidRPr="009D71B3" w:rsidRDefault="009D71B3" w:rsidP="009D71B3">
      <w:pPr>
        <w:numPr>
          <w:ilvl w:val="1"/>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Implementing</w:t>
      </w:r>
    </w:p>
    <w:p w14:paraId="0EDC5B58" w14:textId="77777777" w:rsidR="009D71B3" w:rsidRPr="009D71B3" w:rsidRDefault="009D71B3" w:rsidP="009D71B3">
      <w:pPr>
        <w:numPr>
          <w:ilvl w:val="0"/>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 xml:space="preserve">Analyze </w:t>
      </w:r>
    </w:p>
    <w:p w14:paraId="36A9064D" w14:textId="77777777" w:rsidR="009D71B3" w:rsidRPr="009D71B3" w:rsidRDefault="009D71B3" w:rsidP="009D71B3">
      <w:pPr>
        <w:numPr>
          <w:ilvl w:val="1"/>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Differentiating</w:t>
      </w:r>
    </w:p>
    <w:p w14:paraId="0D638ED1" w14:textId="77777777" w:rsidR="009D71B3" w:rsidRPr="009D71B3" w:rsidRDefault="009D71B3" w:rsidP="009D71B3">
      <w:pPr>
        <w:numPr>
          <w:ilvl w:val="1"/>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Organizing</w:t>
      </w:r>
    </w:p>
    <w:p w14:paraId="3F6AAF68" w14:textId="77777777" w:rsidR="009D71B3" w:rsidRPr="009D71B3" w:rsidRDefault="009D71B3" w:rsidP="009D71B3">
      <w:pPr>
        <w:numPr>
          <w:ilvl w:val="1"/>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Attributing</w:t>
      </w:r>
    </w:p>
    <w:p w14:paraId="7AD80D8E" w14:textId="77777777" w:rsidR="009D71B3" w:rsidRPr="009D71B3" w:rsidRDefault="009D71B3" w:rsidP="009D71B3">
      <w:pPr>
        <w:numPr>
          <w:ilvl w:val="0"/>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 xml:space="preserve">Evaluate </w:t>
      </w:r>
    </w:p>
    <w:p w14:paraId="4D8D0C8D" w14:textId="77777777" w:rsidR="009D71B3" w:rsidRPr="009D71B3" w:rsidRDefault="009D71B3" w:rsidP="009D71B3">
      <w:pPr>
        <w:numPr>
          <w:ilvl w:val="1"/>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Checking</w:t>
      </w:r>
    </w:p>
    <w:p w14:paraId="372762C0" w14:textId="77777777" w:rsidR="009D71B3" w:rsidRPr="009D71B3" w:rsidRDefault="009D71B3" w:rsidP="009D71B3">
      <w:pPr>
        <w:numPr>
          <w:ilvl w:val="1"/>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Critiquing</w:t>
      </w:r>
    </w:p>
    <w:p w14:paraId="7D043E4E" w14:textId="77777777" w:rsidR="009D71B3" w:rsidRPr="009D71B3" w:rsidRDefault="009D71B3" w:rsidP="009D71B3">
      <w:pPr>
        <w:numPr>
          <w:ilvl w:val="0"/>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 xml:space="preserve">Create </w:t>
      </w:r>
    </w:p>
    <w:p w14:paraId="26D73F62" w14:textId="77777777" w:rsidR="009D71B3" w:rsidRPr="009D71B3" w:rsidRDefault="009D71B3" w:rsidP="009D71B3">
      <w:pPr>
        <w:numPr>
          <w:ilvl w:val="1"/>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Generating</w:t>
      </w:r>
    </w:p>
    <w:p w14:paraId="2AA74E9F" w14:textId="77777777" w:rsidR="009D71B3" w:rsidRPr="009D71B3" w:rsidRDefault="009D71B3" w:rsidP="009D71B3">
      <w:pPr>
        <w:numPr>
          <w:ilvl w:val="1"/>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Planning</w:t>
      </w:r>
    </w:p>
    <w:p w14:paraId="6F7FF031" w14:textId="77777777" w:rsidR="009D71B3" w:rsidRPr="009D71B3" w:rsidRDefault="009D71B3" w:rsidP="009D71B3">
      <w:pPr>
        <w:numPr>
          <w:ilvl w:val="1"/>
          <w:numId w:val="7"/>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lastRenderedPageBreak/>
        <w:t>Producing</w:t>
      </w:r>
    </w:p>
    <w:p w14:paraId="1A2E7E1D" w14:textId="77777777" w:rsidR="009D71B3" w:rsidRPr="009D71B3" w:rsidRDefault="009D71B3" w:rsidP="009D71B3">
      <w:pPr>
        <w:spacing w:before="100" w:beforeAutospacing="1" w:after="100" w:afterAutospacing="1"/>
        <w:rPr>
          <w:rFonts w:ascii="Times" w:hAnsi="Times" w:cs="Times New Roman"/>
          <w:sz w:val="20"/>
          <w:szCs w:val="20"/>
        </w:rPr>
      </w:pPr>
      <w:r w:rsidRPr="009D71B3">
        <w:rPr>
          <w:rFonts w:ascii="Times" w:hAnsi="Times" w:cs="Times New Roman"/>
          <w:sz w:val="20"/>
          <w:szCs w:val="20"/>
        </w:rPr>
        <w:t>In the revised taxonomy, knowledge is at the basis of these six cognitive processes, but its authors created a separate taxonomy of the types of knowledge used in cognition:</w:t>
      </w:r>
    </w:p>
    <w:p w14:paraId="04A8F12F" w14:textId="77777777" w:rsidR="009D71B3" w:rsidRPr="009D71B3" w:rsidRDefault="009D71B3" w:rsidP="009D71B3">
      <w:pPr>
        <w:numPr>
          <w:ilvl w:val="0"/>
          <w:numId w:val="8"/>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 xml:space="preserve">Factual Knowledge </w:t>
      </w:r>
    </w:p>
    <w:p w14:paraId="603958F6" w14:textId="77777777" w:rsidR="009D71B3" w:rsidRPr="009D71B3" w:rsidRDefault="009D71B3" w:rsidP="009D71B3">
      <w:pPr>
        <w:numPr>
          <w:ilvl w:val="1"/>
          <w:numId w:val="8"/>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Knowledge of terminology</w:t>
      </w:r>
    </w:p>
    <w:p w14:paraId="1316BAC0" w14:textId="77777777" w:rsidR="009D71B3" w:rsidRPr="009D71B3" w:rsidRDefault="009D71B3" w:rsidP="009D71B3">
      <w:pPr>
        <w:numPr>
          <w:ilvl w:val="1"/>
          <w:numId w:val="8"/>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Knowledge of specific details and elements</w:t>
      </w:r>
    </w:p>
    <w:p w14:paraId="6A070202" w14:textId="77777777" w:rsidR="009D71B3" w:rsidRPr="009D71B3" w:rsidRDefault="009D71B3" w:rsidP="009D71B3">
      <w:pPr>
        <w:numPr>
          <w:ilvl w:val="0"/>
          <w:numId w:val="8"/>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 xml:space="preserve">Conceptual Knowledge </w:t>
      </w:r>
    </w:p>
    <w:p w14:paraId="29E4F1A7" w14:textId="77777777" w:rsidR="009D71B3" w:rsidRPr="009D71B3" w:rsidRDefault="009D71B3" w:rsidP="009D71B3">
      <w:pPr>
        <w:numPr>
          <w:ilvl w:val="1"/>
          <w:numId w:val="8"/>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Knowledge of classifications and categories</w:t>
      </w:r>
    </w:p>
    <w:p w14:paraId="4F174EDC" w14:textId="77777777" w:rsidR="009D71B3" w:rsidRPr="009D71B3" w:rsidRDefault="009D71B3" w:rsidP="009D71B3">
      <w:pPr>
        <w:numPr>
          <w:ilvl w:val="1"/>
          <w:numId w:val="8"/>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Knowledge of principles and generalizations</w:t>
      </w:r>
    </w:p>
    <w:p w14:paraId="4C393ACB" w14:textId="77777777" w:rsidR="009D71B3" w:rsidRPr="009D71B3" w:rsidRDefault="009D71B3" w:rsidP="009D71B3">
      <w:pPr>
        <w:numPr>
          <w:ilvl w:val="1"/>
          <w:numId w:val="8"/>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Knowledge of theories, models, and structures</w:t>
      </w:r>
    </w:p>
    <w:p w14:paraId="4A9154AA" w14:textId="77777777" w:rsidR="009D71B3" w:rsidRPr="009D71B3" w:rsidRDefault="009D71B3" w:rsidP="009D71B3">
      <w:pPr>
        <w:numPr>
          <w:ilvl w:val="0"/>
          <w:numId w:val="8"/>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 xml:space="preserve">Procedural Knowledge </w:t>
      </w:r>
    </w:p>
    <w:p w14:paraId="4469CC35" w14:textId="77777777" w:rsidR="009D71B3" w:rsidRPr="009D71B3" w:rsidRDefault="009D71B3" w:rsidP="009D71B3">
      <w:pPr>
        <w:numPr>
          <w:ilvl w:val="1"/>
          <w:numId w:val="8"/>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Knowledge of subject-specific skills and algorithms</w:t>
      </w:r>
    </w:p>
    <w:p w14:paraId="29CBEDEA" w14:textId="77777777" w:rsidR="009D71B3" w:rsidRPr="009D71B3" w:rsidRDefault="009D71B3" w:rsidP="009D71B3">
      <w:pPr>
        <w:numPr>
          <w:ilvl w:val="1"/>
          <w:numId w:val="8"/>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Knowledge of subject-specific techniques and methods</w:t>
      </w:r>
    </w:p>
    <w:p w14:paraId="0F72E9A0" w14:textId="77777777" w:rsidR="009D71B3" w:rsidRPr="009D71B3" w:rsidRDefault="009D71B3" w:rsidP="009D71B3">
      <w:pPr>
        <w:numPr>
          <w:ilvl w:val="1"/>
          <w:numId w:val="8"/>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Knowledge of criteria for determining when to use appropriate procedures</w:t>
      </w:r>
    </w:p>
    <w:p w14:paraId="46795AC5" w14:textId="77777777" w:rsidR="009D71B3" w:rsidRPr="009D71B3" w:rsidRDefault="009D71B3" w:rsidP="009D71B3">
      <w:pPr>
        <w:numPr>
          <w:ilvl w:val="0"/>
          <w:numId w:val="8"/>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 xml:space="preserve">Metacognitive Knowledge </w:t>
      </w:r>
    </w:p>
    <w:p w14:paraId="389C0185" w14:textId="77777777" w:rsidR="009D71B3" w:rsidRPr="009D71B3" w:rsidRDefault="009D71B3" w:rsidP="009D71B3">
      <w:pPr>
        <w:numPr>
          <w:ilvl w:val="1"/>
          <w:numId w:val="8"/>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Strategic Knowledge</w:t>
      </w:r>
    </w:p>
    <w:p w14:paraId="53F32FDF" w14:textId="77777777" w:rsidR="009D71B3" w:rsidRPr="009D71B3" w:rsidRDefault="009D71B3" w:rsidP="009D71B3">
      <w:pPr>
        <w:numPr>
          <w:ilvl w:val="1"/>
          <w:numId w:val="8"/>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Knowledge about cognitive tasks, including appropriate contextual and conditional knowledge</w:t>
      </w:r>
    </w:p>
    <w:p w14:paraId="33804EB6" w14:textId="77777777" w:rsidR="009D71B3" w:rsidRPr="009D71B3" w:rsidRDefault="009D71B3" w:rsidP="009D71B3">
      <w:pPr>
        <w:numPr>
          <w:ilvl w:val="1"/>
          <w:numId w:val="8"/>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Self-knowledge</w:t>
      </w:r>
    </w:p>
    <w:p w14:paraId="5C5867A5" w14:textId="77777777" w:rsidR="009D71B3" w:rsidRPr="009D71B3" w:rsidRDefault="009D71B3" w:rsidP="009D71B3">
      <w:pPr>
        <w:spacing w:before="100" w:beforeAutospacing="1" w:after="100" w:afterAutospacing="1"/>
        <w:rPr>
          <w:rFonts w:ascii="Times" w:hAnsi="Times" w:cs="Times New Roman"/>
          <w:sz w:val="20"/>
          <w:szCs w:val="20"/>
        </w:rPr>
      </w:pPr>
      <w:r w:rsidRPr="009D71B3">
        <w:rPr>
          <w:rFonts w:ascii="Times" w:hAnsi="Times" w:cs="Times New Roman"/>
          <w:sz w:val="20"/>
          <w:szCs w:val="20"/>
        </w:rPr>
        <w:t xml:space="preserve">Mary Forehand from the University of Georgia provides a </w:t>
      </w:r>
      <w:hyperlink r:id="rId15" w:history="1">
        <w:r w:rsidRPr="009D71B3">
          <w:rPr>
            <w:rFonts w:ascii="Times" w:hAnsi="Times" w:cs="Times New Roman"/>
            <w:color w:val="0000FF"/>
            <w:sz w:val="20"/>
            <w:szCs w:val="20"/>
            <w:u w:val="single"/>
          </w:rPr>
          <w:t>guide to the revised version</w:t>
        </w:r>
      </w:hyperlink>
      <w:r w:rsidRPr="009D71B3">
        <w:rPr>
          <w:rFonts w:ascii="Times" w:hAnsi="Times" w:cs="Times New Roman"/>
          <w:sz w:val="20"/>
          <w:szCs w:val="20"/>
        </w:rPr>
        <w:t xml:space="preserve"> giving a brief summary of the revised taxonomy and a helpful table of the six cognitive processes and four types of knowledge.</w:t>
      </w:r>
    </w:p>
    <w:p w14:paraId="468D0260" w14:textId="77777777" w:rsidR="009D71B3" w:rsidRPr="009D71B3" w:rsidRDefault="009D71B3" w:rsidP="009D71B3">
      <w:pPr>
        <w:spacing w:before="100" w:beforeAutospacing="1" w:after="100" w:afterAutospacing="1"/>
        <w:outlineLvl w:val="1"/>
        <w:rPr>
          <w:rFonts w:ascii="Times" w:eastAsia="Times New Roman" w:hAnsi="Times" w:cs="Times New Roman"/>
          <w:b/>
          <w:bCs/>
          <w:sz w:val="36"/>
          <w:szCs w:val="36"/>
        </w:rPr>
      </w:pPr>
      <w:bookmarkStart w:id="3" w:name="why"/>
      <w:bookmarkEnd w:id="3"/>
      <w:r w:rsidRPr="009D71B3">
        <w:rPr>
          <w:rFonts w:ascii="Times" w:eastAsia="Times New Roman" w:hAnsi="Times" w:cs="Times New Roman"/>
          <w:b/>
          <w:bCs/>
          <w:sz w:val="36"/>
          <w:szCs w:val="36"/>
        </w:rPr>
        <w:t>Why Use Bloom’s Taxonomy?</w:t>
      </w:r>
    </w:p>
    <w:p w14:paraId="2AA10A1F" w14:textId="77777777" w:rsidR="009D71B3" w:rsidRPr="009D71B3" w:rsidRDefault="009D71B3" w:rsidP="009D71B3">
      <w:pPr>
        <w:spacing w:before="100" w:beforeAutospacing="1" w:after="100" w:afterAutospacing="1"/>
        <w:rPr>
          <w:rFonts w:ascii="Times" w:hAnsi="Times" w:cs="Times New Roman"/>
          <w:sz w:val="20"/>
          <w:szCs w:val="20"/>
        </w:rPr>
      </w:pPr>
      <w:r w:rsidRPr="009D71B3">
        <w:rPr>
          <w:rFonts w:ascii="Times" w:hAnsi="Times" w:cs="Times New Roman"/>
          <w:sz w:val="20"/>
          <w:szCs w:val="20"/>
        </w:rPr>
        <w:t>The authors of the revised taxonomy suggest a multi-layered answer to this question, to which the author of this teaching guide has added some clarifying points:</w:t>
      </w:r>
    </w:p>
    <w:p w14:paraId="7F0E1AA7" w14:textId="77777777" w:rsidR="009D71B3" w:rsidRPr="009D71B3" w:rsidRDefault="009D71B3" w:rsidP="009D71B3">
      <w:pPr>
        <w:numPr>
          <w:ilvl w:val="0"/>
          <w:numId w:val="9"/>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Objectives (learning goals) are important to establish in a pedagogical interchange so that teachers and students alike understand the purpose of that interchange.</w:t>
      </w:r>
    </w:p>
    <w:p w14:paraId="5B217F3D" w14:textId="77777777" w:rsidR="009D71B3" w:rsidRPr="009D71B3" w:rsidRDefault="009D71B3" w:rsidP="009D71B3">
      <w:pPr>
        <w:numPr>
          <w:ilvl w:val="0"/>
          <w:numId w:val="9"/>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Teachers can benefit from using frameworks to organize objectives because</w:t>
      </w:r>
    </w:p>
    <w:p w14:paraId="2F1B29B1" w14:textId="77777777" w:rsidR="009D71B3" w:rsidRPr="009D71B3" w:rsidRDefault="009D71B3" w:rsidP="009D71B3">
      <w:pPr>
        <w:numPr>
          <w:ilvl w:val="0"/>
          <w:numId w:val="9"/>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Organizing objectives helps to clarify objectives for themselves and for students.</w:t>
      </w:r>
    </w:p>
    <w:p w14:paraId="401B3FAC" w14:textId="77777777" w:rsidR="009D71B3" w:rsidRPr="009D71B3" w:rsidRDefault="009D71B3" w:rsidP="009D71B3">
      <w:pPr>
        <w:numPr>
          <w:ilvl w:val="0"/>
          <w:numId w:val="9"/>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 xml:space="preserve">Having an organized set of objectives helps teachers to: </w:t>
      </w:r>
    </w:p>
    <w:p w14:paraId="70667130" w14:textId="77777777" w:rsidR="009D71B3" w:rsidRPr="009D71B3" w:rsidRDefault="009D71B3" w:rsidP="009D71B3">
      <w:pPr>
        <w:numPr>
          <w:ilvl w:val="1"/>
          <w:numId w:val="9"/>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“plan and deliver appropriate instruction”;</w:t>
      </w:r>
    </w:p>
    <w:p w14:paraId="2511381F" w14:textId="77777777" w:rsidR="009D71B3" w:rsidRPr="009D71B3" w:rsidRDefault="009D71B3" w:rsidP="009D71B3">
      <w:pPr>
        <w:numPr>
          <w:ilvl w:val="1"/>
          <w:numId w:val="9"/>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 xml:space="preserve">“design valid assessment tasks and </w:t>
      </w:r>
      <w:proofErr w:type="spellStart"/>
      <w:r w:rsidRPr="009D71B3">
        <w:rPr>
          <w:rFonts w:ascii="Times" w:eastAsia="Times New Roman" w:hAnsi="Times" w:cs="Times New Roman"/>
          <w:sz w:val="20"/>
          <w:szCs w:val="20"/>
        </w:rPr>
        <w:t>strategies</w:t>
      </w:r>
      <w:proofErr w:type="gramStart"/>
      <w:r w:rsidRPr="009D71B3">
        <w:rPr>
          <w:rFonts w:ascii="Times" w:eastAsia="Times New Roman" w:hAnsi="Times" w:cs="Times New Roman"/>
          <w:sz w:val="20"/>
          <w:szCs w:val="20"/>
        </w:rPr>
        <w:t>”;and</w:t>
      </w:r>
      <w:proofErr w:type="spellEnd"/>
      <w:proofErr w:type="gramEnd"/>
    </w:p>
    <w:p w14:paraId="20A2D681" w14:textId="77777777" w:rsidR="009D71B3" w:rsidRPr="009D71B3" w:rsidRDefault="009D71B3" w:rsidP="009D71B3">
      <w:pPr>
        <w:numPr>
          <w:ilvl w:val="1"/>
          <w:numId w:val="9"/>
        </w:numPr>
        <w:spacing w:before="100" w:beforeAutospacing="1" w:after="100" w:afterAutospacing="1"/>
        <w:rPr>
          <w:rFonts w:ascii="Times" w:eastAsia="Times New Roman" w:hAnsi="Times" w:cs="Times New Roman"/>
          <w:sz w:val="20"/>
          <w:szCs w:val="20"/>
        </w:rPr>
      </w:pPr>
      <w:r w:rsidRPr="009D71B3">
        <w:rPr>
          <w:rFonts w:ascii="Times" w:eastAsia="Times New Roman" w:hAnsi="Times" w:cs="Times New Roman"/>
          <w:sz w:val="20"/>
          <w:szCs w:val="20"/>
        </w:rPr>
        <w:t>“ensure that instruction and assessment are aligned with the objectives.”</w:t>
      </w:r>
    </w:p>
    <w:p w14:paraId="220BD327" w14:textId="77777777" w:rsidR="009D71B3" w:rsidRPr="009D71B3" w:rsidRDefault="009D71B3" w:rsidP="009D71B3">
      <w:pPr>
        <w:spacing w:before="100" w:beforeAutospacing="1" w:after="100" w:afterAutospacing="1"/>
        <w:rPr>
          <w:rFonts w:ascii="Times" w:hAnsi="Times" w:cs="Times New Roman"/>
          <w:sz w:val="20"/>
          <w:szCs w:val="20"/>
        </w:rPr>
      </w:pPr>
      <w:r w:rsidRPr="009D71B3">
        <w:rPr>
          <w:rFonts w:ascii="Times" w:hAnsi="Times" w:cs="Times New Roman"/>
          <w:sz w:val="20"/>
          <w:szCs w:val="20"/>
        </w:rPr>
        <w:t xml:space="preserve">Citations are from </w:t>
      </w:r>
      <w:hyperlink r:id="rId16" w:tgtFrame="_blank" w:history="1">
        <w:r w:rsidRPr="009D71B3">
          <w:rPr>
            <w:rFonts w:ascii="Times" w:hAnsi="Times" w:cs="Times New Roman"/>
            <w:i/>
            <w:iCs/>
            <w:color w:val="0000FF"/>
            <w:sz w:val="20"/>
            <w:szCs w:val="20"/>
            <w:u w:val="single"/>
          </w:rPr>
          <w:t>A Taxonomy for Learning, Teaching, and Assessing: A Revision of Bloom’s Taxonomy of Educational Objectives</w:t>
        </w:r>
      </w:hyperlink>
      <w:r w:rsidRPr="009D71B3">
        <w:rPr>
          <w:rFonts w:ascii="Times" w:hAnsi="Times" w:cs="Times New Roman"/>
          <w:i/>
          <w:iCs/>
          <w:sz w:val="20"/>
          <w:szCs w:val="20"/>
        </w:rPr>
        <w:t>.</w:t>
      </w:r>
    </w:p>
    <w:p w14:paraId="3AB0532A" w14:textId="77777777" w:rsidR="009D71B3" w:rsidRPr="009D71B3" w:rsidRDefault="009D71B3" w:rsidP="009D71B3">
      <w:pPr>
        <w:spacing w:before="100" w:beforeAutospacing="1" w:after="100" w:afterAutospacing="1"/>
        <w:outlineLvl w:val="1"/>
        <w:rPr>
          <w:rFonts w:ascii="Times" w:eastAsia="Times New Roman" w:hAnsi="Times" w:cs="Times New Roman"/>
          <w:b/>
          <w:bCs/>
          <w:sz w:val="36"/>
          <w:szCs w:val="36"/>
        </w:rPr>
      </w:pPr>
      <w:bookmarkStart w:id="4" w:name="further"/>
      <w:bookmarkEnd w:id="4"/>
      <w:r w:rsidRPr="009D71B3">
        <w:rPr>
          <w:rFonts w:ascii="Times" w:eastAsia="Times New Roman" w:hAnsi="Times" w:cs="Times New Roman"/>
          <w:b/>
          <w:bCs/>
          <w:sz w:val="36"/>
          <w:szCs w:val="36"/>
        </w:rPr>
        <w:t>Further Information</w:t>
      </w:r>
    </w:p>
    <w:p w14:paraId="19733D7D" w14:textId="77777777" w:rsidR="009D71B3" w:rsidRPr="009D71B3" w:rsidRDefault="009D71B3" w:rsidP="009D71B3">
      <w:pPr>
        <w:spacing w:before="100" w:beforeAutospacing="1" w:after="100" w:afterAutospacing="1"/>
        <w:rPr>
          <w:rFonts w:ascii="Times" w:hAnsi="Times" w:cs="Times New Roman"/>
          <w:sz w:val="20"/>
          <w:szCs w:val="20"/>
        </w:rPr>
      </w:pPr>
      <w:r w:rsidRPr="009D71B3">
        <w:rPr>
          <w:rFonts w:ascii="Times" w:hAnsi="Times" w:cs="Times New Roman"/>
          <w:sz w:val="20"/>
          <w:szCs w:val="20"/>
        </w:rPr>
        <w:t xml:space="preserve">Section III of </w:t>
      </w:r>
      <w:hyperlink r:id="rId17" w:tgtFrame="_blank" w:history="1">
        <w:r w:rsidRPr="009D71B3">
          <w:rPr>
            <w:rFonts w:ascii="Times" w:hAnsi="Times" w:cs="Times New Roman"/>
            <w:i/>
            <w:iCs/>
            <w:color w:val="0000FF"/>
            <w:sz w:val="20"/>
            <w:szCs w:val="20"/>
            <w:u w:val="single"/>
          </w:rPr>
          <w:t>A Taxonomy for Learning, Teaching, and Assessing: A Revision of Bloom’s Taxonomy of Educational Objectives</w:t>
        </w:r>
      </w:hyperlink>
      <w:r w:rsidRPr="009D71B3">
        <w:rPr>
          <w:rFonts w:ascii="Times" w:hAnsi="Times" w:cs="Times New Roman"/>
          <w:sz w:val="20"/>
          <w:szCs w:val="20"/>
        </w:rPr>
        <w:t>, entitled “The Taxonomy in Use,” provides over 150 pages of examples of applications of the taxonomy. Although these examples are from the K-12 setting, they are easily adaptable to the university setting.</w:t>
      </w:r>
    </w:p>
    <w:p w14:paraId="750AA5F8" w14:textId="77777777" w:rsidR="009D71B3" w:rsidRPr="009D71B3" w:rsidRDefault="009D71B3" w:rsidP="009D71B3">
      <w:pPr>
        <w:spacing w:before="100" w:beforeAutospacing="1" w:after="100" w:afterAutospacing="1"/>
        <w:rPr>
          <w:rFonts w:ascii="Times" w:hAnsi="Times" w:cs="Times New Roman"/>
          <w:sz w:val="20"/>
          <w:szCs w:val="20"/>
        </w:rPr>
      </w:pPr>
      <w:r w:rsidRPr="009D71B3">
        <w:rPr>
          <w:rFonts w:ascii="Times" w:hAnsi="Times" w:cs="Times New Roman"/>
          <w:sz w:val="20"/>
          <w:szCs w:val="20"/>
        </w:rPr>
        <w:t>Section IV, “The Taxonomy in Perspective,” provides information about 19 alternative frameworks to Bloom’s Taxonomy, and discusses the relationship of these alternative frameworks to the revised Bloom’s Taxonomy.</w:t>
      </w:r>
    </w:p>
    <w:p w14:paraId="348E18D3" w14:textId="22D02F82" w:rsidR="000C22FC" w:rsidRPr="00485526" w:rsidRDefault="00485526" w:rsidP="00485526">
      <w:pPr>
        <w:shd w:val="clear" w:color="auto" w:fill="FFFFFF"/>
        <w:spacing w:before="225" w:after="225" w:line="408" w:lineRule="atLeast"/>
        <w:ind w:left="360"/>
        <w:jc w:val="center"/>
        <w:rPr>
          <w:rFonts w:ascii="Roboto" w:eastAsia="Times New Roman" w:hAnsi="Roboto" w:cs="Times New Roman"/>
          <w:color w:val="222222"/>
          <w:sz w:val="15"/>
          <w:szCs w:val="15"/>
        </w:rPr>
      </w:pPr>
      <w:r w:rsidRPr="00485526">
        <w:rPr>
          <w:noProof/>
          <w:sz w:val="15"/>
          <w:szCs w:val="15"/>
        </w:rPr>
        <w:drawing>
          <wp:inline distT="0" distB="0" distL="0" distR="0" wp14:anchorId="79C0EE0B" wp14:editId="797902F2">
            <wp:extent cx="1016000" cy="193040"/>
            <wp:effectExtent l="0" t="0" r="0" b="0"/>
            <wp:docPr id="8" name="Picture 8" descr="Creative Commons Licens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6000" cy="193040"/>
                    </a:xfrm>
                    <a:prstGeom prst="rect">
                      <a:avLst/>
                    </a:prstGeom>
                    <a:noFill/>
                    <a:ln>
                      <a:noFill/>
                    </a:ln>
                  </pic:spPr>
                </pic:pic>
              </a:graphicData>
            </a:graphic>
          </wp:inline>
        </w:drawing>
      </w:r>
      <w:r w:rsidRPr="00485526">
        <w:rPr>
          <w:rFonts w:ascii="Roboto" w:eastAsia="Times New Roman" w:hAnsi="Roboto" w:cs="Times New Roman"/>
          <w:color w:val="222222"/>
          <w:sz w:val="15"/>
          <w:szCs w:val="15"/>
        </w:rPr>
        <w:br/>
        <w:t>This teaching guide is licensed under a </w:t>
      </w:r>
      <w:hyperlink r:id="rId20" w:history="1">
        <w:r w:rsidRPr="00485526">
          <w:rPr>
            <w:rFonts w:ascii="Roboto" w:eastAsia="Times New Roman" w:hAnsi="Roboto" w:cs="Times New Roman"/>
            <w:color w:val="006682"/>
            <w:sz w:val="15"/>
            <w:szCs w:val="15"/>
            <w:u w:val="single"/>
          </w:rPr>
          <w:t>Creative Commons Attribution-</w:t>
        </w:r>
        <w:proofErr w:type="spellStart"/>
        <w:r w:rsidRPr="00485526">
          <w:rPr>
            <w:rFonts w:ascii="Roboto" w:eastAsia="Times New Roman" w:hAnsi="Roboto" w:cs="Times New Roman"/>
            <w:color w:val="006682"/>
            <w:sz w:val="15"/>
            <w:szCs w:val="15"/>
            <w:u w:val="single"/>
          </w:rPr>
          <w:t>NonCommercial</w:t>
        </w:r>
        <w:proofErr w:type="spellEnd"/>
        <w:r w:rsidRPr="00485526">
          <w:rPr>
            <w:rFonts w:ascii="Roboto" w:eastAsia="Times New Roman" w:hAnsi="Roboto" w:cs="Times New Roman"/>
            <w:color w:val="006682"/>
            <w:sz w:val="15"/>
            <w:szCs w:val="15"/>
            <w:u w:val="single"/>
          </w:rPr>
          <w:t xml:space="preserve"> 4.0 International License</w:t>
        </w:r>
      </w:hyperlink>
      <w:r w:rsidRPr="00485526">
        <w:rPr>
          <w:rFonts w:ascii="Roboto" w:eastAsia="Times New Roman" w:hAnsi="Roboto" w:cs="Times New Roman"/>
          <w:color w:val="222222"/>
          <w:sz w:val="15"/>
          <w:szCs w:val="15"/>
        </w:rPr>
        <w:t>.</w:t>
      </w:r>
    </w:p>
    <w:sectPr w:rsidR="000C22FC" w:rsidRPr="00485526" w:rsidSect="009D71B3">
      <w:pgSz w:w="12240" w:h="15840"/>
      <w:pgMar w:top="900" w:right="180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Calisto MT">
    <w:panose1 w:val="02040603050505030304"/>
    <w:charset w:val="4D"/>
    <w:family w:val="roman"/>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Lucida Grande">
    <w:altName w:val="Lucida Grande"/>
    <w:panose1 w:val="020B0600040502020204"/>
    <w:charset w:val="00"/>
    <w:family w:val="auto"/>
    <w:pitch w:val="variable"/>
    <w:sig w:usb0="E1000AEF" w:usb1="5000A1FF" w:usb2="00000000" w:usb3="00000000" w:csb0="000001BF" w:csb1="00000000"/>
  </w:font>
  <w:font w:name="Roboto">
    <w:altName w:val="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5551C"/>
    <w:multiLevelType w:val="multilevel"/>
    <w:tmpl w:val="D876D0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3E549C"/>
    <w:multiLevelType w:val="multilevel"/>
    <w:tmpl w:val="76DA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C71A4"/>
    <w:multiLevelType w:val="multilevel"/>
    <w:tmpl w:val="E54C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313CF8"/>
    <w:multiLevelType w:val="multilevel"/>
    <w:tmpl w:val="66DE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B7D4C"/>
    <w:multiLevelType w:val="multilevel"/>
    <w:tmpl w:val="3E80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561985"/>
    <w:multiLevelType w:val="multilevel"/>
    <w:tmpl w:val="5A9A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16A7E"/>
    <w:multiLevelType w:val="multilevel"/>
    <w:tmpl w:val="7BCA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847944"/>
    <w:multiLevelType w:val="multilevel"/>
    <w:tmpl w:val="D1400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3E1FEE"/>
    <w:multiLevelType w:val="multilevel"/>
    <w:tmpl w:val="3676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5"/>
  </w:num>
  <w:num w:numId="5">
    <w:abstractNumId w:val="1"/>
  </w:num>
  <w:num w:numId="6">
    <w:abstractNumId w:val="6"/>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1B3"/>
    <w:rsid w:val="0004112C"/>
    <w:rsid w:val="000C22FC"/>
    <w:rsid w:val="00485526"/>
    <w:rsid w:val="009D71B3"/>
    <w:rsid w:val="00C9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7D3362"/>
  <w14:defaultImageDpi w14:val="300"/>
  <w15:docId w15:val="{F13EA73D-4EB9-1840-8896-5DEF50FC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71B3"/>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9D71B3"/>
    <w:pPr>
      <w:spacing w:before="100" w:beforeAutospacing="1" w:after="100" w:afterAutospacing="1"/>
      <w:outlineLvl w:val="1"/>
    </w:pPr>
    <w:rPr>
      <w:rFonts w:ascii="Times" w:hAnsi="Times"/>
      <w:b/>
      <w:bCs/>
      <w:sz w:val="36"/>
      <w:szCs w:val="36"/>
    </w:rPr>
  </w:style>
  <w:style w:type="paragraph" w:styleId="Heading6">
    <w:name w:val="heading 6"/>
    <w:basedOn w:val="Normal"/>
    <w:link w:val="Heading6Char"/>
    <w:uiPriority w:val="9"/>
    <w:qFormat/>
    <w:rsid w:val="009D71B3"/>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9720B"/>
    <w:pPr>
      <w:pBdr>
        <w:bottom w:val="single" w:sz="4" w:space="4" w:color="4F81BD" w:themeColor="accent1"/>
      </w:pBdr>
      <w:spacing w:before="200" w:after="280"/>
      <w:ind w:right="936"/>
    </w:pPr>
    <w:rPr>
      <w:bCs/>
      <w:iCs/>
      <w:color w:val="BFBFBF" w:themeColor="background1" w:themeShade="BF"/>
      <w:sz w:val="16"/>
    </w:rPr>
  </w:style>
  <w:style w:type="character" w:customStyle="1" w:styleId="IntenseQuoteChar">
    <w:name w:val="Intense Quote Char"/>
    <w:basedOn w:val="DefaultParagraphFont"/>
    <w:link w:val="IntenseQuote"/>
    <w:uiPriority w:val="30"/>
    <w:rsid w:val="00C9720B"/>
    <w:rPr>
      <w:bCs/>
      <w:iCs/>
      <w:color w:val="BFBFBF" w:themeColor="background1" w:themeShade="BF"/>
      <w:sz w:val="16"/>
    </w:rPr>
  </w:style>
  <w:style w:type="paragraph" w:styleId="Subtitle">
    <w:name w:val="Subtitle"/>
    <w:basedOn w:val="Normal"/>
    <w:next w:val="Normal"/>
    <w:link w:val="SubtitleChar"/>
    <w:uiPriority w:val="1"/>
    <w:qFormat/>
    <w:rsid w:val="00C9720B"/>
    <w:pPr>
      <w:numPr>
        <w:ilvl w:val="1"/>
      </w:numPr>
      <w:tabs>
        <w:tab w:val="left" w:pos="252"/>
      </w:tabs>
      <w:spacing w:before="40" w:after="120"/>
      <w:ind w:left="-108"/>
    </w:pPr>
    <w:rPr>
      <w:rFonts w:ascii="Calisto MT" w:eastAsiaTheme="majorEastAsia" w:hAnsi="Calisto MT" w:cstheme="majorBidi"/>
      <w:iCs/>
      <w:color w:val="800000"/>
      <w:sz w:val="32"/>
    </w:rPr>
  </w:style>
  <w:style w:type="character" w:customStyle="1" w:styleId="SubtitleChar">
    <w:name w:val="Subtitle Char"/>
    <w:basedOn w:val="DefaultParagraphFont"/>
    <w:link w:val="Subtitle"/>
    <w:uiPriority w:val="1"/>
    <w:rsid w:val="00C9720B"/>
    <w:rPr>
      <w:rFonts w:ascii="Calisto MT" w:eastAsiaTheme="majorEastAsia" w:hAnsi="Calisto MT" w:cstheme="majorBidi"/>
      <w:iCs/>
      <w:color w:val="800000"/>
      <w:sz w:val="32"/>
    </w:rPr>
  </w:style>
  <w:style w:type="character" w:customStyle="1" w:styleId="Heading1Char">
    <w:name w:val="Heading 1 Char"/>
    <w:basedOn w:val="DefaultParagraphFont"/>
    <w:link w:val="Heading1"/>
    <w:uiPriority w:val="9"/>
    <w:rsid w:val="009D71B3"/>
    <w:rPr>
      <w:rFonts w:ascii="Times" w:hAnsi="Times"/>
      <w:b/>
      <w:bCs/>
      <w:kern w:val="36"/>
      <w:sz w:val="48"/>
      <w:szCs w:val="48"/>
    </w:rPr>
  </w:style>
  <w:style w:type="character" w:customStyle="1" w:styleId="Heading2Char">
    <w:name w:val="Heading 2 Char"/>
    <w:basedOn w:val="DefaultParagraphFont"/>
    <w:link w:val="Heading2"/>
    <w:uiPriority w:val="9"/>
    <w:rsid w:val="009D71B3"/>
    <w:rPr>
      <w:rFonts w:ascii="Times" w:hAnsi="Times"/>
      <w:b/>
      <w:bCs/>
      <w:sz w:val="36"/>
      <w:szCs w:val="36"/>
    </w:rPr>
  </w:style>
  <w:style w:type="character" w:customStyle="1" w:styleId="Heading6Char">
    <w:name w:val="Heading 6 Char"/>
    <w:basedOn w:val="DefaultParagraphFont"/>
    <w:link w:val="Heading6"/>
    <w:uiPriority w:val="9"/>
    <w:rsid w:val="009D71B3"/>
    <w:rPr>
      <w:rFonts w:ascii="Times" w:hAnsi="Times"/>
      <w:b/>
      <w:bCs/>
      <w:sz w:val="15"/>
      <w:szCs w:val="15"/>
    </w:rPr>
  </w:style>
  <w:style w:type="character" w:styleId="Emphasis">
    <w:name w:val="Emphasis"/>
    <w:basedOn w:val="DefaultParagraphFont"/>
    <w:uiPriority w:val="20"/>
    <w:qFormat/>
    <w:rsid w:val="009D71B3"/>
    <w:rPr>
      <w:i/>
      <w:iCs/>
    </w:rPr>
  </w:style>
  <w:style w:type="paragraph" w:styleId="NormalWeb">
    <w:name w:val="Normal (Web)"/>
    <w:basedOn w:val="Normal"/>
    <w:uiPriority w:val="99"/>
    <w:unhideWhenUsed/>
    <w:rsid w:val="009D71B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D71B3"/>
    <w:rPr>
      <w:b/>
      <w:bCs/>
    </w:rPr>
  </w:style>
  <w:style w:type="character" w:styleId="Hyperlink">
    <w:name w:val="Hyperlink"/>
    <w:basedOn w:val="DefaultParagraphFont"/>
    <w:uiPriority w:val="99"/>
    <w:semiHidden/>
    <w:unhideWhenUsed/>
    <w:rsid w:val="009D71B3"/>
    <w:rPr>
      <w:color w:val="0000FF"/>
      <w:u w:val="single"/>
    </w:rPr>
  </w:style>
  <w:style w:type="paragraph" w:styleId="BalloonText">
    <w:name w:val="Balloon Text"/>
    <w:basedOn w:val="Normal"/>
    <w:link w:val="BalloonTextChar"/>
    <w:uiPriority w:val="99"/>
    <w:semiHidden/>
    <w:unhideWhenUsed/>
    <w:rsid w:val="009D71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71B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58003">
      <w:bodyDiv w:val="1"/>
      <w:marLeft w:val="0"/>
      <w:marRight w:val="0"/>
      <w:marTop w:val="0"/>
      <w:marBottom w:val="0"/>
      <w:divBdr>
        <w:top w:val="none" w:sz="0" w:space="0" w:color="auto"/>
        <w:left w:val="none" w:sz="0" w:space="0" w:color="auto"/>
        <w:bottom w:val="none" w:sz="0" w:space="0" w:color="auto"/>
        <w:right w:val="none" w:sz="0" w:space="0" w:color="auto"/>
      </w:divBdr>
      <w:divsChild>
        <w:div w:id="717896468">
          <w:marLeft w:val="0"/>
          <w:marRight w:val="0"/>
          <w:marTop w:val="0"/>
          <w:marBottom w:val="0"/>
          <w:divBdr>
            <w:top w:val="none" w:sz="0" w:space="0" w:color="auto"/>
            <w:left w:val="none" w:sz="0" w:space="0" w:color="auto"/>
            <w:bottom w:val="none" w:sz="0" w:space="0" w:color="auto"/>
            <w:right w:val="none" w:sz="0" w:space="0" w:color="auto"/>
          </w:divBdr>
          <w:divsChild>
            <w:div w:id="1861626934">
              <w:marLeft w:val="0"/>
              <w:marRight w:val="0"/>
              <w:marTop w:val="0"/>
              <w:marBottom w:val="0"/>
              <w:divBdr>
                <w:top w:val="none" w:sz="0" w:space="0" w:color="auto"/>
                <w:left w:val="none" w:sz="0" w:space="0" w:color="auto"/>
                <w:bottom w:val="none" w:sz="0" w:space="0" w:color="auto"/>
                <w:right w:val="none" w:sz="0" w:space="0" w:color="auto"/>
              </w:divBdr>
              <w:divsChild>
                <w:div w:id="1159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8682">
      <w:bodyDiv w:val="1"/>
      <w:marLeft w:val="0"/>
      <w:marRight w:val="0"/>
      <w:marTop w:val="0"/>
      <w:marBottom w:val="0"/>
      <w:divBdr>
        <w:top w:val="none" w:sz="0" w:space="0" w:color="auto"/>
        <w:left w:val="none" w:sz="0" w:space="0" w:color="auto"/>
        <w:bottom w:val="none" w:sz="0" w:space="0" w:color="auto"/>
        <w:right w:val="none" w:sz="0" w:space="0" w:color="auto"/>
      </w:divBdr>
      <w:divsChild>
        <w:div w:id="1935437557">
          <w:marLeft w:val="0"/>
          <w:marRight w:val="0"/>
          <w:marTop w:val="0"/>
          <w:marBottom w:val="0"/>
          <w:divBdr>
            <w:top w:val="none" w:sz="0" w:space="0" w:color="auto"/>
            <w:left w:val="none" w:sz="0" w:space="0" w:color="auto"/>
            <w:bottom w:val="none" w:sz="0" w:space="0" w:color="auto"/>
            <w:right w:val="none" w:sz="0" w:space="0" w:color="auto"/>
          </w:divBdr>
          <w:divsChild>
            <w:div w:id="1681662193">
              <w:marLeft w:val="0"/>
              <w:marRight w:val="0"/>
              <w:marTop w:val="0"/>
              <w:marBottom w:val="0"/>
              <w:divBdr>
                <w:top w:val="none" w:sz="0" w:space="0" w:color="auto"/>
                <w:left w:val="none" w:sz="0" w:space="0" w:color="auto"/>
                <w:bottom w:val="none" w:sz="0" w:space="0" w:color="auto"/>
                <w:right w:val="none" w:sz="0" w:space="0" w:color="auto"/>
              </w:divBdr>
              <w:divsChild>
                <w:div w:id="149370956">
                  <w:marLeft w:val="0"/>
                  <w:marRight w:val="0"/>
                  <w:marTop w:val="0"/>
                  <w:marBottom w:val="0"/>
                  <w:divBdr>
                    <w:top w:val="none" w:sz="0" w:space="0" w:color="auto"/>
                    <w:left w:val="none" w:sz="0" w:space="0" w:color="auto"/>
                    <w:bottom w:val="none" w:sz="0" w:space="0" w:color="auto"/>
                    <w:right w:val="none" w:sz="0" w:space="0" w:color="auto"/>
                  </w:divBdr>
                  <w:divsChild>
                    <w:div w:id="16630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65306">
              <w:marLeft w:val="0"/>
              <w:marRight w:val="0"/>
              <w:marTop w:val="0"/>
              <w:marBottom w:val="0"/>
              <w:divBdr>
                <w:top w:val="none" w:sz="0" w:space="0" w:color="auto"/>
                <w:left w:val="none" w:sz="0" w:space="0" w:color="auto"/>
                <w:bottom w:val="none" w:sz="0" w:space="0" w:color="auto"/>
                <w:right w:val="none" w:sz="0" w:space="0" w:color="auto"/>
              </w:divBdr>
            </w:div>
            <w:div w:id="1194223686">
              <w:marLeft w:val="0"/>
              <w:marRight w:val="0"/>
              <w:marTop w:val="0"/>
              <w:marBottom w:val="0"/>
              <w:divBdr>
                <w:top w:val="none" w:sz="0" w:space="0" w:color="auto"/>
                <w:left w:val="none" w:sz="0" w:space="0" w:color="auto"/>
                <w:bottom w:val="none" w:sz="0" w:space="0" w:color="auto"/>
                <w:right w:val="none" w:sz="0" w:space="0" w:color="auto"/>
              </w:divBdr>
            </w:div>
            <w:div w:id="1679654509">
              <w:marLeft w:val="0"/>
              <w:marRight w:val="0"/>
              <w:marTop w:val="0"/>
              <w:marBottom w:val="0"/>
              <w:divBdr>
                <w:top w:val="none" w:sz="0" w:space="0" w:color="auto"/>
                <w:left w:val="none" w:sz="0" w:space="0" w:color="auto"/>
                <w:bottom w:val="none" w:sz="0" w:space="0" w:color="auto"/>
                <w:right w:val="none" w:sz="0" w:space="0" w:color="auto"/>
              </w:divBdr>
            </w:div>
            <w:div w:id="63187621">
              <w:marLeft w:val="0"/>
              <w:marRight w:val="0"/>
              <w:marTop w:val="0"/>
              <w:marBottom w:val="0"/>
              <w:divBdr>
                <w:top w:val="none" w:sz="0" w:space="0" w:color="auto"/>
                <w:left w:val="none" w:sz="0" w:space="0" w:color="auto"/>
                <w:bottom w:val="none" w:sz="0" w:space="0" w:color="auto"/>
                <w:right w:val="none" w:sz="0" w:space="0" w:color="auto"/>
              </w:divBdr>
            </w:div>
            <w:div w:id="464466143">
              <w:marLeft w:val="0"/>
              <w:marRight w:val="0"/>
              <w:marTop w:val="0"/>
              <w:marBottom w:val="0"/>
              <w:divBdr>
                <w:top w:val="none" w:sz="0" w:space="0" w:color="auto"/>
                <w:left w:val="none" w:sz="0" w:space="0" w:color="auto"/>
                <w:bottom w:val="none" w:sz="0" w:space="0" w:color="auto"/>
                <w:right w:val="none" w:sz="0" w:space="0" w:color="auto"/>
              </w:divBdr>
              <w:divsChild>
                <w:div w:id="2129348471">
                  <w:marLeft w:val="0"/>
                  <w:marRight w:val="0"/>
                  <w:marTop w:val="0"/>
                  <w:marBottom w:val="0"/>
                  <w:divBdr>
                    <w:top w:val="none" w:sz="0" w:space="0" w:color="auto"/>
                    <w:left w:val="none" w:sz="0" w:space="0" w:color="auto"/>
                    <w:bottom w:val="none" w:sz="0" w:space="0" w:color="auto"/>
                    <w:right w:val="none" w:sz="0" w:space="0" w:color="auto"/>
                  </w:divBdr>
                </w:div>
                <w:div w:id="949819802">
                  <w:marLeft w:val="0"/>
                  <w:marRight w:val="0"/>
                  <w:marTop w:val="0"/>
                  <w:marBottom w:val="0"/>
                  <w:divBdr>
                    <w:top w:val="none" w:sz="0" w:space="0" w:color="auto"/>
                    <w:left w:val="none" w:sz="0" w:space="0" w:color="auto"/>
                    <w:bottom w:val="none" w:sz="0" w:space="0" w:color="auto"/>
                    <w:right w:val="none" w:sz="0" w:space="0" w:color="auto"/>
                  </w:divBdr>
                </w:div>
                <w:div w:id="1011878554">
                  <w:marLeft w:val="0"/>
                  <w:marRight w:val="0"/>
                  <w:marTop w:val="0"/>
                  <w:marBottom w:val="0"/>
                  <w:divBdr>
                    <w:top w:val="none" w:sz="0" w:space="0" w:color="auto"/>
                    <w:left w:val="none" w:sz="0" w:space="0" w:color="auto"/>
                    <w:bottom w:val="none" w:sz="0" w:space="0" w:color="auto"/>
                    <w:right w:val="none" w:sz="0" w:space="0" w:color="auto"/>
                  </w:divBdr>
                </w:div>
                <w:div w:id="981806901">
                  <w:marLeft w:val="0"/>
                  <w:marRight w:val="0"/>
                  <w:marTop w:val="0"/>
                  <w:marBottom w:val="0"/>
                  <w:divBdr>
                    <w:top w:val="none" w:sz="0" w:space="0" w:color="auto"/>
                    <w:left w:val="none" w:sz="0" w:space="0" w:color="auto"/>
                    <w:bottom w:val="none" w:sz="0" w:space="0" w:color="auto"/>
                    <w:right w:val="none" w:sz="0" w:space="0" w:color="auto"/>
                  </w:divBdr>
                </w:div>
                <w:div w:id="748693144">
                  <w:marLeft w:val="0"/>
                  <w:marRight w:val="0"/>
                  <w:marTop w:val="0"/>
                  <w:marBottom w:val="0"/>
                  <w:divBdr>
                    <w:top w:val="none" w:sz="0" w:space="0" w:color="auto"/>
                    <w:left w:val="none" w:sz="0" w:space="0" w:color="auto"/>
                    <w:bottom w:val="none" w:sz="0" w:space="0" w:color="auto"/>
                    <w:right w:val="none" w:sz="0" w:space="0" w:color="auto"/>
                  </w:divBdr>
                </w:div>
                <w:div w:id="813178248">
                  <w:marLeft w:val="0"/>
                  <w:marRight w:val="0"/>
                  <w:marTop w:val="0"/>
                  <w:marBottom w:val="0"/>
                  <w:divBdr>
                    <w:top w:val="none" w:sz="0" w:space="0" w:color="auto"/>
                    <w:left w:val="none" w:sz="0" w:space="0" w:color="auto"/>
                    <w:bottom w:val="none" w:sz="0" w:space="0" w:color="auto"/>
                    <w:right w:val="none" w:sz="0" w:space="0" w:color="auto"/>
                  </w:divBdr>
                </w:div>
                <w:div w:id="1793285630">
                  <w:marLeft w:val="0"/>
                  <w:marRight w:val="0"/>
                  <w:marTop w:val="0"/>
                  <w:marBottom w:val="0"/>
                  <w:divBdr>
                    <w:top w:val="none" w:sz="0" w:space="0" w:color="auto"/>
                    <w:left w:val="none" w:sz="0" w:space="0" w:color="auto"/>
                    <w:bottom w:val="none" w:sz="0" w:space="0" w:color="auto"/>
                    <w:right w:val="none" w:sz="0" w:space="0" w:color="auto"/>
                  </w:divBdr>
                </w:div>
                <w:div w:id="198013461">
                  <w:marLeft w:val="0"/>
                  <w:marRight w:val="0"/>
                  <w:marTop w:val="0"/>
                  <w:marBottom w:val="0"/>
                  <w:divBdr>
                    <w:top w:val="none" w:sz="0" w:space="0" w:color="auto"/>
                    <w:left w:val="none" w:sz="0" w:space="0" w:color="auto"/>
                    <w:bottom w:val="none" w:sz="0" w:space="0" w:color="auto"/>
                    <w:right w:val="none" w:sz="0" w:space="0" w:color="auto"/>
                  </w:divBdr>
                </w:div>
                <w:div w:id="691033963">
                  <w:marLeft w:val="0"/>
                  <w:marRight w:val="0"/>
                  <w:marTop w:val="0"/>
                  <w:marBottom w:val="0"/>
                  <w:divBdr>
                    <w:top w:val="none" w:sz="0" w:space="0" w:color="auto"/>
                    <w:left w:val="none" w:sz="0" w:space="0" w:color="auto"/>
                    <w:bottom w:val="none" w:sz="0" w:space="0" w:color="auto"/>
                    <w:right w:val="none" w:sz="0" w:space="0" w:color="auto"/>
                  </w:divBdr>
                </w:div>
                <w:div w:id="1047149565">
                  <w:marLeft w:val="0"/>
                  <w:marRight w:val="0"/>
                  <w:marTop w:val="0"/>
                  <w:marBottom w:val="0"/>
                  <w:divBdr>
                    <w:top w:val="none" w:sz="0" w:space="0" w:color="auto"/>
                    <w:left w:val="none" w:sz="0" w:space="0" w:color="auto"/>
                    <w:bottom w:val="none" w:sz="0" w:space="0" w:color="auto"/>
                    <w:right w:val="none" w:sz="0" w:space="0" w:color="auto"/>
                  </w:divBdr>
                </w:div>
                <w:div w:id="9377073">
                  <w:marLeft w:val="0"/>
                  <w:marRight w:val="0"/>
                  <w:marTop w:val="0"/>
                  <w:marBottom w:val="0"/>
                  <w:divBdr>
                    <w:top w:val="none" w:sz="0" w:space="0" w:color="auto"/>
                    <w:left w:val="none" w:sz="0" w:space="0" w:color="auto"/>
                    <w:bottom w:val="none" w:sz="0" w:space="0" w:color="auto"/>
                    <w:right w:val="none" w:sz="0" w:space="0" w:color="auto"/>
                  </w:divBdr>
                </w:div>
                <w:div w:id="2065061163">
                  <w:marLeft w:val="0"/>
                  <w:marRight w:val="0"/>
                  <w:marTop w:val="0"/>
                  <w:marBottom w:val="0"/>
                  <w:divBdr>
                    <w:top w:val="none" w:sz="0" w:space="0" w:color="auto"/>
                    <w:left w:val="none" w:sz="0" w:space="0" w:color="auto"/>
                    <w:bottom w:val="none" w:sz="0" w:space="0" w:color="auto"/>
                    <w:right w:val="none" w:sz="0" w:space="0" w:color="auto"/>
                  </w:divBdr>
                </w:div>
                <w:div w:id="1841890901">
                  <w:marLeft w:val="0"/>
                  <w:marRight w:val="0"/>
                  <w:marTop w:val="0"/>
                  <w:marBottom w:val="0"/>
                  <w:divBdr>
                    <w:top w:val="none" w:sz="0" w:space="0" w:color="auto"/>
                    <w:left w:val="none" w:sz="0" w:space="0" w:color="auto"/>
                    <w:bottom w:val="none" w:sz="0" w:space="0" w:color="auto"/>
                    <w:right w:val="none" w:sz="0" w:space="0" w:color="auto"/>
                  </w:divBdr>
                </w:div>
                <w:div w:id="2087729595">
                  <w:marLeft w:val="0"/>
                  <w:marRight w:val="0"/>
                  <w:marTop w:val="0"/>
                  <w:marBottom w:val="0"/>
                  <w:divBdr>
                    <w:top w:val="none" w:sz="0" w:space="0" w:color="auto"/>
                    <w:left w:val="none" w:sz="0" w:space="0" w:color="auto"/>
                    <w:bottom w:val="none" w:sz="0" w:space="0" w:color="auto"/>
                    <w:right w:val="none" w:sz="0" w:space="0" w:color="auto"/>
                  </w:divBdr>
                </w:div>
                <w:div w:id="10902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vandycft/29428436431" TargetMode="External"/><Relationship Id="rId13" Type="http://schemas.openxmlformats.org/officeDocument/2006/relationships/hyperlink" Target="http://acorn.library.vanderbilt.edu/cgi-bin/isbn-search/1555425682" TargetMode="External"/><Relationship Id="rId18" Type="http://schemas.openxmlformats.org/officeDocument/2006/relationships/hyperlink" Target="http://creativecommons.org/licenses/by-nc/4.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teaching.berkeley.edu/bgd/teaching.html" TargetMode="External"/><Relationship Id="rId17" Type="http://schemas.openxmlformats.org/officeDocument/2006/relationships/hyperlink" Target="http://acorn.library.vanderbilt.edu/cgi-bin/isbn-search/0321084055" TargetMode="External"/><Relationship Id="rId2" Type="http://schemas.openxmlformats.org/officeDocument/2006/relationships/styles" Target="styles.xml"/><Relationship Id="rId16" Type="http://schemas.openxmlformats.org/officeDocument/2006/relationships/hyperlink" Target="http://acorn.library.vanderbilt.edu/cgi-bin/isbn-search/0321084055" TargetMode="External"/><Relationship Id="rId20" Type="http://schemas.openxmlformats.org/officeDocument/2006/relationships/hyperlink" Target="http://creativecommons.org/licenses/by-nc/4.0/" TargetMode="External"/><Relationship Id="rId1" Type="http://schemas.openxmlformats.org/officeDocument/2006/relationships/numbering" Target="numbering.xml"/><Relationship Id="rId6" Type="http://schemas.openxmlformats.org/officeDocument/2006/relationships/hyperlink" Target="https://www.flickr.com/photos/vandycft/29428436431" TargetMode="External"/><Relationship Id="rId11" Type="http://schemas.openxmlformats.org/officeDocument/2006/relationships/hyperlink" Target="http://faculty.washington.edu/krumme/guides/bloom1.html" TargetMode="External"/><Relationship Id="rId5" Type="http://schemas.openxmlformats.org/officeDocument/2006/relationships/image" Target="media/image1.png"/><Relationship Id="rId15" Type="http://schemas.openxmlformats.org/officeDocument/2006/relationships/hyperlink" Target="http://epltt.coe.uga.edu/index.php?title=Bloom%27s_Taxonomy" TargetMode="External"/><Relationship Id="rId10" Type="http://schemas.openxmlformats.org/officeDocument/2006/relationships/hyperlink" Target="http://acorn.library.vanderbilt.edu/cgi-bin/isbn-search/0582280109"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teaching.uncc.edu/sites/teaching.uncc.edu/files/media/files/file/GoalsAndObjectives/Bloom.pdf" TargetMode="External"/><Relationship Id="rId14" Type="http://schemas.openxmlformats.org/officeDocument/2006/relationships/hyperlink" Target="http://acorn.library.vanderbilt.edu/cgi-bin/isbn-search/032108405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6424</Characters>
  <Application>Microsoft Office Word</Application>
  <DocSecurity>0</DocSecurity>
  <Lines>53</Lines>
  <Paragraphs>15</Paragraphs>
  <ScaleCrop>false</ScaleCrop>
  <Company>vanderbilt</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McDaniel Rhett</dc:creator>
  <cp:keywords/>
  <dc:description/>
  <cp:lastModifiedBy>Byer, Carly</cp:lastModifiedBy>
  <cp:revision>2</cp:revision>
  <dcterms:created xsi:type="dcterms:W3CDTF">2021-02-17T21:51:00Z</dcterms:created>
  <dcterms:modified xsi:type="dcterms:W3CDTF">2021-02-17T21:51:00Z</dcterms:modified>
</cp:coreProperties>
</file>